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9F409C" w14:textId="77777777" w:rsidR="00EF158C" w:rsidRDefault="00000000">
      <w:pPr>
        <w:spacing w:after="40"/>
      </w:pPr>
      <w:r>
        <w:rPr>
          <w:b/>
          <w:color w:val="3B6FD4"/>
          <w:sz w:val="19"/>
        </w:rPr>
        <w:t>PLOTARA TEACHING SERIES  ·  GUIDE 9</w:t>
      </w:r>
    </w:p>
    <w:p w14:paraId="257E538D" w14:textId="77777777" w:rsidR="00EF158C" w:rsidRDefault="00000000">
      <w:pPr>
        <w:spacing w:after="80"/>
      </w:pPr>
      <w:r>
        <w:rPr>
          <w:b/>
          <w:sz w:val="52"/>
        </w:rPr>
        <w:t>Running a Test Within Each Group</w:t>
      </w:r>
    </w:p>
    <w:p w14:paraId="7A580882" w14:textId="77777777" w:rsidR="00EF158C" w:rsidRDefault="00000000">
      <w:pPr>
        <w:spacing w:after="200"/>
      </w:pPr>
      <w:r>
        <w:rPr>
          <w:color w:val="5B6471"/>
          <w:sz w:val="24"/>
        </w:rPr>
        <w:t>One analysis, split by a factor — and comparing the splits</w:t>
      </w:r>
    </w:p>
    <w:p w14:paraId="1E4B5D96" w14:textId="77777777" w:rsidR="00EF158C" w:rsidRDefault="00EF158C">
      <w:pPr>
        <w:pBdr>
          <w:bottom w:val="single" w:sz="6" w:space="6" w:color="D6DCE6"/>
        </w:pBdr>
        <w:spacing w:before="40" w:after="40"/>
      </w:pPr>
    </w:p>
    <w:p w14:paraId="4C520ECB" w14:textId="3037C7FB" w:rsidR="00EF158C" w:rsidRPr="000D1BF2" w:rsidRDefault="00000000">
      <w:pPr>
        <w:spacing w:after="40"/>
        <w:rPr>
          <w:lang w:val="it-CH"/>
        </w:rPr>
      </w:pPr>
      <w:r w:rsidRPr="000D1BF2">
        <w:rPr>
          <w:b/>
          <w:sz w:val="19"/>
          <w:lang w:val="it-CH"/>
        </w:rPr>
        <w:t xml:space="preserve">Dataset:  </w:t>
      </w:r>
      <w:r w:rsidR="000D1BF2" w:rsidRPr="000D1BF2">
        <w:rPr>
          <w:color w:val="5B6471"/>
          <w:sz w:val="19"/>
          <w:lang w:val="it-CH"/>
        </w:rPr>
        <w:t>Dataset_2_Neuron_study</w:t>
      </w:r>
      <w:r w:rsidRPr="000D1BF2">
        <w:rPr>
          <w:color w:val="5B6471"/>
          <w:sz w:val="19"/>
          <w:lang w:val="it-CH"/>
        </w:rPr>
        <w:t>.csv</w:t>
      </w:r>
    </w:p>
    <w:p w14:paraId="030E70A5" w14:textId="77777777" w:rsidR="00EF158C" w:rsidRPr="000D1BF2" w:rsidRDefault="00EF158C">
      <w:pPr>
        <w:spacing w:after="80"/>
        <w:rPr>
          <w:lang w:val="it-CH"/>
        </w:rPr>
      </w:pPr>
    </w:p>
    <w:p w14:paraId="5C0416D2" w14:textId="77777777" w:rsidR="00EF158C" w:rsidRDefault="00000000">
      <w:pPr>
        <w:pStyle w:val="Heading2"/>
      </w:pPr>
      <w:r w:rsidRPr="000D1BF2">
        <w:rPr>
          <w:lang w:val="it-CH"/>
        </w:rPr>
        <w:t xml:space="preserve">1.  </w:t>
      </w:r>
      <w:r>
        <w:t>The data</w:t>
      </w:r>
    </w:p>
    <w:p w14:paraId="23EC6EEE" w14:textId="2A0CF21C" w:rsidR="00EF158C" w:rsidRDefault="00000000">
      <w:r>
        <w:t xml:space="preserve">Researchers recorded </w:t>
      </w:r>
      <w:r>
        <w:rPr>
          <w:b/>
        </w:rPr>
        <w:t>180 individual neurons</w:t>
      </w:r>
      <w:r>
        <w:t xml:space="preserve"> from mice — 90 normal (</w:t>
      </w:r>
      <w:r>
        <w:rPr>
          <w:rFonts w:ascii="Consolas" w:hAnsi="Consolas"/>
          <w:sz w:val="20"/>
        </w:rPr>
        <w:t>WT</w:t>
      </w:r>
      <w:r>
        <w:t xml:space="preserve">) and 90 carrying a </w:t>
      </w:r>
      <w:r>
        <w:rPr>
          <w:rFonts w:ascii="Consolas" w:hAnsi="Consolas"/>
          <w:sz w:val="20"/>
        </w:rPr>
        <w:t>Shank3-KO</w:t>
      </w:r>
      <w:r>
        <w:t xml:space="preserve"> genetic knockout — and timed how quickly each mouse responded on a behavioural task. Load </w:t>
      </w:r>
      <w:r w:rsidR="000D1BF2" w:rsidRPr="000D1BF2">
        <w:rPr>
          <w:rFonts w:ascii="Consolas" w:hAnsi="Consolas"/>
          <w:sz w:val="20"/>
        </w:rPr>
        <w:t>Dataset_2_Neuron_study</w:t>
      </w:r>
      <w:r>
        <w:rPr>
          <w:rFonts w:ascii="Consolas" w:hAnsi="Consolas"/>
          <w:sz w:val="20"/>
        </w:rPr>
        <w:t>.csv</w:t>
      </w:r>
      <w:r>
        <w:t xml:space="preserve">: </w:t>
      </w:r>
      <w:r>
        <w:rPr>
          <w:b/>
        </w:rPr>
        <w:t>one row per neuron</w:t>
      </w:r>
      <w:r>
        <w:t>.</w:t>
      </w:r>
    </w:p>
    <w:p w14:paraId="40685583" w14:textId="77777777" w:rsidR="00EF158C" w:rsidRDefault="00000000">
      <w:r>
        <w:t xml:space="preserve">Guide 8 correlates </w:t>
      </w:r>
      <w:r>
        <w:rPr>
          <w:rFonts w:ascii="Consolas" w:hAnsi="Consolas"/>
          <w:sz w:val="20"/>
        </w:rPr>
        <w:t>SpineDensity_per10um</w:t>
      </w:r>
      <w:r>
        <w:t xml:space="preserve"> with </w:t>
      </w:r>
      <w:r>
        <w:rPr>
          <w:rFonts w:ascii="Consolas" w:hAnsi="Consolas"/>
          <w:sz w:val="20"/>
        </w:rPr>
        <w:t>ReactionTime_ms</w:t>
      </w:r>
      <w:r>
        <w:t xml:space="preserve"> across the whole sample and finds a weak negative relationship, r = −.35: neurons with more spines tend to come from mice that respond faster.</w:t>
      </w:r>
    </w:p>
    <w:p w14:paraId="7DA54D24" w14:textId="77777777" w:rsidR="00EF158C" w:rsidRDefault="00000000">
      <w:r>
        <w:t>But those 180 neurons came from two very different kinds of mice. A single correlation across both is an average of two possibly different stories.</w:t>
      </w:r>
    </w:p>
    <w:p w14:paraId="498D5404" w14:textId="77777777" w:rsidR="00EF158C" w:rsidRDefault="00000000">
      <w:pPr>
        <w:pStyle w:val="Heading2"/>
      </w:pPr>
      <w:r>
        <w:t>2.  The question</w:t>
      </w:r>
    </w:p>
    <w:p w14:paraId="4DDCF38C" w14:textId="77777777" w:rsidR="00EF158C" w:rsidRDefault="00000000">
      <w:r>
        <w:rPr>
          <w:b/>
        </w:rPr>
        <w:t>Is the spine density–reaction time relationship the same in both genotypes?</w:t>
      </w:r>
      <w:r>
        <w:t xml:space="preserve"> This is a question about a </w:t>
      </w:r>
      <w:r>
        <w:rPr>
          <w:i/>
        </w:rPr>
        <w:t>relationship</w:t>
      </w:r>
      <w:r>
        <w:t>, not about a mean, and it is one students usually answer by running the analysis twice and eyeballing the two numbers. Plotara can do better.</w:t>
      </w:r>
    </w:p>
    <w:p w14:paraId="30781063" w14:textId="77777777" w:rsidR="00EF158C" w:rsidRDefault="00000000">
      <w:pPr>
        <w:pStyle w:val="ListNumber"/>
        <w:spacing w:after="60"/>
      </w:pPr>
      <w:r>
        <w:rPr>
          <w:rFonts w:ascii="Consolas" w:hAnsi="Consolas"/>
          <w:sz w:val="20"/>
        </w:rPr>
        <w:t>Plotting</w:t>
      </w:r>
      <w:r>
        <w:t xml:space="preserve"> tab → </w:t>
      </w:r>
      <w:r>
        <w:rPr>
          <w:rFonts w:ascii="Consolas" w:hAnsi="Consolas"/>
          <w:sz w:val="20"/>
        </w:rPr>
        <w:t>Scatter</w:t>
      </w:r>
      <w:r>
        <w:t>.</w:t>
      </w:r>
    </w:p>
    <w:p w14:paraId="0919673B" w14:textId="77777777" w:rsidR="00EF158C" w:rsidRDefault="00000000">
      <w:pPr>
        <w:pStyle w:val="ListNumber"/>
        <w:spacing w:after="60"/>
      </w:pPr>
      <w:r>
        <w:rPr>
          <w:rFonts w:ascii="Consolas" w:hAnsi="Consolas"/>
          <w:sz w:val="20"/>
        </w:rPr>
        <w:t>X Axis</w:t>
      </w:r>
      <w:r>
        <w:t xml:space="preserve"> → </w:t>
      </w:r>
      <w:r>
        <w:rPr>
          <w:rFonts w:ascii="Consolas" w:hAnsi="Consolas"/>
          <w:sz w:val="20"/>
        </w:rPr>
        <w:t>SpineDensity_per10um</w:t>
      </w:r>
      <w:r>
        <w:t xml:space="preserve">,  </w:t>
      </w:r>
      <w:r>
        <w:rPr>
          <w:rFonts w:ascii="Consolas" w:hAnsi="Consolas"/>
          <w:sz w:val="20"/>
        </w:rPr>
        <w:t>Y Axis</w:t>
      </w:r>
      <w:r>
        <w:t xml:space="preserve"> → </w:t>
      </w:r>
      <w:r>
        <w:rPr>
          <w:rFonts w:ascii="Consolas" w:hAnsi="Consolas"/>
          <w:sz w:val="20"/>
        </w:rPr>
        <w:t>ReactionTime_ms</w:t>
      </w:r>
      <w:r>
        <w:t>.</w:t>
      </w:r>
    </w:p>
    <w:p w14:paraId="2E99FDEE" w14:textId="77777777" w:rsidR="00EF158C" w:rsidRDefault="00000000">
      <w:pPr>
        <w:pStyle w:val="ListNumber"/>
        <w:spacing w:after="180"/>
      </w:pPr>
      <w:r>
        <w:t xml:space="preserve">Set </w:t>
      </w:r>
      <w:r>
        <w:rPr>
          <w:rFonts w:ascii="Consolas" w:hAnsi="Consolas"/>
          <w:sz w:val="20"/>
        </w:rPr>
        <w:t>Group By</w:t>
      </w:r>
      <w:r>
        <w:t xml:space="preserve"> → </w:t>
      </w:r>
      <w:r>
        <w:rPr>
          <w:rFonts w:ascii="Consolas" w:hAnsi="Consolas"/>
          <w:sz w:val="20"/>
        </w:rPr>
        <w:t>Genotype</w:t>
      </w:r>
      <w:r>
        <w:t xml:space="preserve"> so the two genotypes are </w:t>
      </w:r>
      <w:proofErr w:type="spellStart"/>
      <w:r>
        <w:t>coloured</w:t>
      </w:r>
      <w:proofErr w:type="spellEnd"/>
      <w:r>
        <w:t xml:space="preserve"> separately.</w:t>
      </w:r>
    </w:p>
    <w:p w14:paraId="04AACE55" w14:textId="7B3D7FC6" w:rsidR="00555E5C" w:rsidRDefault="00555E5C">
      <w:pPr>
        <w:pStyle w:val="ListNumber"/>
        <w:spacing w:after="180"/>
      </w:pPr>
      <w:r>
        <w:t>Add trendline</w:t>
      </w:r>
    </w:p>
    <w:p w14:paraId="399C234F" w14:textId="521D449D" w:rsidR="00555E5C" w:rsidRDefault="00555E5C" w:rsidP="00555E5C">
      <w:pPr>
        <w:pStyle w:val="ListNumber"/>
        <w:numPr>
          <w:ilvl w:val="0"/>
          <w:numId w:val="0"/>
        </w:numPr>
        <w:spacing w:after="180"/>
        <w:ind w:left="360" w:hanging="360"/>
      </w:pPr>
      <w:r>
        <w:rPr>
          <w:noProof/>
        </w:rPr>
        <w:drawing>
          <wp:inline distT="0" distB="0" distL="0" distR="0" wp14:anchorId="47DE0D15" wp14:editId="1998EDA8">
            <wp:extent cx="4890977" cy="2912657"/>
            <wp:effectExtent l="0" t="0" r="0" b="0"/>
            <wp:docPr id="160634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4260" name="Picture 160634260"/>
                    <pic:cNvPicPr/>
                  </pic:nvPicPr>
                  <pic:blipFill>
                    <a:blip r:embed="rId8"/>
                    <a:stretch>
                      <a:fillRect/>
                    </a:stretch>
                  </pic:blipFill>
                  <pic:spPr>
                    <a:xfrm>
                      <a:off x="0" y="0"/>
                      <a:ext cx="4905394" cy="2921243"/>
                    </a:xfrm>
                    <a:prstGeom prst="rect">
                      <a:avLst/>
                    </a:prstGeom>
                  </pic:spPr>
                </pic:pic>
              </a:graphicData>
            </a:graphic>
          </wp:inline>
        </w:drawing>
      </w:r>
    </w:p>
    <w:p w14:paraId="6CD0D567" w14:textId="77777777" w:rsidR="00EF158C" w:rsidRDefault="00000000">
      <w:pPr>
        <w:spacing w:after="200"/>
      </w:pPr>
      <w:r>
        <w:rPr>
          <w:i/>
          <w:color w:val="5B6471"/>
          <w:sz w:val="18"/>
        </w:rPr>
        <w:t>Figure 1. The same relationship, split by genotype.</w:t>
      </w:r>
    </w:p>
    <w:p w14:paraId="2297B0B5" w14:textId="77777777" w:rsidR="00EF158C" w:rsidRDefault="00000000">
      <w:r>
        <w:lastRenderedPageBreak/>
        <w:t>One cloud slopes downwards more steeply than the other. The question is whether that difference is real, or just the sort of variation you get from splitting any sample in two.</w:t>
      </w:r>
    </w:p>
    <w:p w14:paraId="3062C388" w14:textId="59F377CF" w:rsidR="00EF158C" w:rsidRDefault="00000000">
      <w:pPr>
        <w:pStyle w:val="Heading2"/>
      </w:pPr>
      <w:r>
        <w:t xml:space="preserve">3.  What </w:t>
      </w:r>
      <w:r w:rsidR="00555E5C">
        <w:t>‘</w:t>
      </w:r>
      <w:r>
        <w:t>Group by</w:t>
      </w:r>
      <w:r w:rsidR="00555E5C">
        <w:t>’</w:t>
      </w:r>
      <w:r>
        <w:t xml:space="preserve"> does, and why it is better than doing it twice</w:t>
      </w:r>
    </w:p>
    <w:p w14:paraId="57F3FF96" w14:textId="77777777" w:rsidR="00EF158C" w:rsidRDefault="00000000">
      <w:r>
        <w:t xml:space="preserve">Most tests in Plotara have an optional </w:t>
      </w:r>
      <w:r>
        <w:rPr>
          <w:rFonts w:ascii="Consolas" w:hAnsi="Consolas"/>
          <w:b/>
          <w:sz w:val="20"/>
        </w:rPr>
        <w:t>Group by</w:t>
      </w:r>
      <w:r>
        <w:t xml:space="preserve"> box. Click one or more columns in it and the test runs </w:t>
      </w:r>
      <w:r>
        <w:rPr>
          <w:b/>
        </w:rPr>
        <w:t>separately within every level</w:t>
      </w:r>
      <w:r>
        <w:t>, reporting each result side by side.</w:t>
      </w:r>
    </w:p>
    <w:tbl>
      <w:tblPr>
        <w:tblStyle w:val="TableGrid"/>
        <w:tblW w:w="0" w:type="auto"/>
        <w:jc w:val="center"/>
        <w:tblLook w:val="04A0" w:firstRow="1" w:lastRow="0" w:firstColumn="1" w:lastColumn="0" w:noHBand="0" w:noVBand="1"/>
      </w:tblPr>
      <w:tblGrid>
        <w:gridCol w:w="4535"/>
        <w:gridCol w:w="4649"/>
      </w:tblGrid>
      <w:tr w:rsidR="00EF158C" w14:paraId="04E5CC58" w14:textId="77777777">
        <w:trPr>
          <w:tblHeader/>
          <w:jc w:val="center"/>
        </w:trPr>
        <w:tc>
          <w:tcPr>
            <w:tcW w:w="4535" w:type="dxa"/>
            <w:shd w:val="clear" w:color="auto" w:fill="E8EFFC"/>
          </w:tcPr>
          <w:p w14:paraId="46A10CC3" w14:textId="77777777" w:rsidR="00EF158C" w:rsidRDefault="00000000">
            <w:pPr>
              <w:spacing w:before="60" w:after="60"/>
            </w:pPr>
            <w:r>
              <w:rPr>
                <w:b/>
                <w:sz w:val="19"/>
              </w:rPr>
              <w:t>Doing it by hand</w:t>
            </w:r>
          </w:p>
        </w:tc>
        <w:tc>
          <w:tcPr>
            <w:tcW w:w="4649" w:type="dxa"/>
            <w:shd w:val="clear" w:color="auto" w:fill="E8EFFC"/>
          </w:tcPr>
          <w:p w14:paraId="2B736491" w14:textId="77777777" w:rsidR="00EF158C" w:rsidRDefault="00000000">
            <w:pPr>
              <w:spacing w:before="60" w:after="60"/>
            </w:pPr>
            <w:r>
              <w:rPr>
                <w:b/>
                <w:sz w:val="19"/>
              </w:rPr>
              <w:t xml:space="preserve">Using </w:t>
            </w:r>
            <w:r>
              <w:rPr>
                <w:rFonts w:ascii="Consolas" w:hAnsi="Consolas"/>
                <w:b/>
                <w:sz w:val="17"/>
              </w:rPr>
              <w:t>Group by</w:t>
            </w:r>
          </w:p>
        </w:tc>
      </w:tr>
      <w:tr w:rsidR="00EF158C" w14:paraId="09081A04" w14:textId="77777777">
        <w:trPr>
          <w:jc w:val="center"/>
        </w:trPr>
        <w:tc>
          <w:tcPr>
            <w:tcW w:w="4535" w:type="dxa"/>
          </w:tcPr>
          <w:p w14:paraId="7EDD123F" w14:textId="77777777" w:rsidR="00EF158C" w:rsidRDefault="00000000">
            <w:pPr>
              <w:spacing w:before="60" w:after="60"/>
            </w:pPr>
            <w:r>
              <w:rPr>
                <w:sz w:val="19"/>
              </w:rPr>
              <w:t>Filter the data, run, write the numbers down, filter again, run again.</w:t>
            </w:r>
          </w:p>
        </w:tc>
        <w:tc>
          <w:tcPr>
            <w:tcW w:w="4649" w:type="dxa"/>
          </w:tcPr>
          <w:p w14:paraId="021209A1" w14:textId="77777777" w:rsidR="00EF158C" w:rsidRDefault="00000000">
            <w:pPr>
              <w:spacing w:before="60" w:after="60"/>
            </w:pPr>
            <w:r>
              <w:rPr>
                <w:sz w:val="19"/>
              </w:rPr>
              <w:t>One run, both results, in one output block.</w:t>
            </w:r>
          </w:p>
        </w:tc>
      </w:tr>
      <w:tr w:rsidR="00EF158C" w14:paraId="300A2F96" w14:textId="77777777">
        <w:trPr>
          <w:jc w:val="center"/>
        </w:trPr>
        <w:tc>
          <w:tcPr>
            <w:tcW w:w="4535" w:type="dxa"/>
          </w:tcPr>
          <w:p w14:paraId="16DACB99" w14:textId="77777777" w:rsidR="00EF158C" w:rsidRDefault="00000000">
            <w:pPr>
              <w:spacing w:before="60" w:after="60"/>
            </w:pPr>
            <w:r>
              <w:rPr>
                <w:sz w:val="19"/>
              </w:rPr>
              <w:t>Nothing links the results, so you compare them by eye.</w:t>
            </w:r>
          </w:p>
        </w:tc>
        <w:tc>
          <w:tcPr>
            <w:tcW w:w="4649" w:type="dxa"/>
          </w:tcPr>
          <w:p w14:paraId="62C16345" w14:textId="77777777" w:rsidR="00EF158C" w:rsidRDefault="00000000">
            <w:pPr>
              <w:spacing w:before="60" w:after="60"/>
            </w:pPr>
            <w:r>
              <w:rPr>
                <w:sz w:val="19"/>
              </w:rPr>
              <w:t>Plotara can test whether the groups actually differ.</w:t>
            </w:r>
          </w:p>
        </w:tc>
      </w:tr>
      <w:tr w:rsidR="00EF158C" w14:paraId="42F694DC" w14:textId="77777777">
        <w:trPr>
          <w:jc w:val="center"/>
        </w:trPr>
        <w:tc>
          <w:tcPr>
            <w:tcW w:w="4535" w:type="dxa"/>
          </w:tcPr>
          <w:p w14:paraId="11D063BD" w14:textId="77777777" w:rsidR="00EF158C" w:rsidRDefault="00000000">
            <w:pPr>
              <w:spacing w:before="60" w:after="60"/>
            </w:pPr>
            <w:r>
              <w:rPr>
                <w:sz w:val="19"/>
              </w:rPr>
              <w:t>You quietly ran two tests and reported both as if you ran one.</w:t>
            </w:r>
          </w:p>
        </w:tc>
        <w:tc>
          <w:tcPr>
            <w:tcW w:w="4649" w:type="dxa"/>
          </w:tcPr>
          <w:p w14:paraId="028EFFC3" w14:textId="77777777" w:rsidR="00EF158C" w:rsidRDefault="00000000">
            <w:pPr>
              <w:spacing w:before="60" w:after="60"/>
            </w:pPr>
            <w:r>
              <w:rPr>
                <w:sz w:val="19"/>
              </w:rPr>
              <w:t>One correction is applied across the whole family.</w:t>
            </w:r>
          </w:p>
        </w:tc>
      </w:tr>
    </w:tbl>
    <w:p w14:paraId="08B99E89" w14:textId="77777777" w:rsidR="00EF158C" w:rsidRDefault="00EF158C">
      <w:pPr>
        <w:spacing w:after="40"/>
      </w:pPr>
    </w:p>
    <w:p w14:paraId="54039362" w14:textId="6C482BF2" w:rsidR="00EF158C" w:rsidRDefault="00000000" w:rsidP="00555E5C">
      <w:pPr>
        <w:pStyle w:val="ListNumber"/>
      </w:pPr>
      <w:r>
        <w:t>Running it</w:t>
      </w:r>
    </w:p>
    <w:p w14:paraId="2839F77C" w14:textId="77777777" w:rsidR="00EF158C" w:rsidRDefault="00000000">
      <w:r>
        <w:rPr>
          <w:rFonts w:ascii="Consolas" w:hAnsi="Consolas"/>
          <w:sz w:val="20"/>
        </w:rPr>
        <w:t>Statistics</w:t>
      </w:r>
      <w:r>
        <w:t xml:space="preserve"> tab → </w:t>
      </w:r>
      <w:r>
        <w:rPr>
          <w:rFonts w:ascii="Consolas" w:hAnsi="Consolas"/>
          <w:sz w:val="20"/>
        </w:rPr>
        <w:t>Correlation</w:t>
      </w:r>
      <w:r>
        <w:t xml:space="preserve"> → </w:t>
      </w:r>
      <w:r>
        <w:rPr>
          <w:rFonts w:ascii="Consolas" w:hAnsi="Consolas"/>
          <w:sz w:val="20"/>
        </w:rPr>
        <w:t>Pearson Correlation</w:t>
      </w:r>
      <w:r>
        <w:t>.</w:t>
      </w:r>
    </w:p>
    <w:p w14:paraId="52D82491" w14:textId="33DD6797" w:rsidR="00EF158C" w:rsidRDefault="00000000" w:rsidP="00555E5C">
      <w:pPr>
        <w:pStyle w:val="ListNumber"/>
        <w:numPr>
          <w:ilvl w:val="0"/>
          <w:numId w:val="10"/>
        </w:numPr>
        <w:spacing w:after="60"/>
      </w:pPr>
      <w:r w:rsidRPr="00555E5C">
        <w:rPr>
          <w:rFonts w:ascii="Consolas" w:hAnsi="Consolas"/>
          <w:sz w:val="20"/>
        </w:rPr>
        <w:t>Variable 1 (X)</w:t>
      </w:r>
      <w:r>
        <w:t xml:space="preserve"> → </w:t>
      </w:r>
      <w:r w:rsidRPr="00555E5C">
        <w:rPr>
          <w:rFonts w:ascii="Consolas" w:hAnsi="Consolas"/>
          <w:sz w:val="20"/>
        </w:rPr>
        <w:t>SpineDensity_per10um</w:t>
      </w:r>
    </w:p>
    <w:p w14:paraId="48FFA452" w14:textId="77777777" w:rsidR="00EF158C" w:rsidRDefault="00000000">
      <w:pPr>
        <w:pStyle w:val="ListNumber"/>
        <w:spacing w:after="60"/>
      </w:pPr>
      <w:r>
        <w:rPr>
          <w:rFonts w:ascii="Consolas" w:hAnsi="Consolas"/>
          <w:sz w:val="20"/>
        </w:rPr>
        <w:t>Variable 2 (Y)</w:t>
      </w:r>
      <w:r>
        <w:t xml:space="preserve"> → </w:t>
      </w:r>
      <w:r>
        <w:rPr>
          <w:rFonts w:ascii="Consolas" w:hAnsi="Consolas"/>
          <w:sz w:val="20"/>
        </w:rPr>
        <w:t>ReactionTime_ms</w:t>
      </w:r>
    </w:p>
    <w:p w14:paraId="124FA8DF" w14:textId="77777777" w:rsidR="00EF158C" w:rsidRDefault="00000000">
      <w:pPr>
        <w:pStyle w:val="ListNumber"/>
        <w:spacing w:after="60"/>
      </w:pPr>
      <w:r>
        <w:t xml:space="preserve">In the </w:t>
      </w:r>
      <w:r>
        <w:rPr>
          <w:rFonts w:ascii="Consolas" w:hAnsi="Consolas"/>
          <w:sz w:val="20"/>
        </w:rPr>
        <w:t>Group by (optional)</w:t>
      </w:r>
      <w:r>
        <w:t xml:space="preserve"> box, click </w:t>
      </w:r>
      <w:r>
        <w:rPr>
          <w:rFonts w:ascii="Consolas" w:hAnsi="Consolas"/>
          <w:sz w:val="20"/>
        </w:rPr>
        <w:t>Genotype</w:t>
      </w:r>
      <w:r>
        <w:t xml:space="preserve">. The hint underneath should read </w:t>
      </w:r>
      <w:r>
        <w:rPr>
          <w:i/>
        </w:rPr>
        <w:t>Correlation runs separately within each Genotype group.</w:t>
      </w:r>
    </w:p>
    <w:p w14:paraId="150E26A4" w14:textId="77777777" w:rsidR="00EF158C" w:rsidRDefault="00000000">
      <w:pPr>
        <w:pStyle w:val="ListNumber"/>
        <w:spacing w:after="60"/>
      </w:pPr>
      <w:r>
        <w:t xml:space="preserve">A </w:t>
      </w:r>
      <w:r>
        <w:rPr>
          <w:rFonts w:ascii="Consolas" w:hAnsi="Consolas"/>
          <w:sz w:val="20"/>
        </w:rPr>
        <w:t>Compare correlations between groups</w:t>
      </w:r>
      <w:r>
        <w:t xml:space="preserve"> switch appears — turn it on.</w:t>
      </w:r>
    </w:p>
    <w:p w14:paraId="5AED1AD2" w14:textId="77777777" w:rsidR="00EF158C" w:rsidRDefault="00000000">
      <w:pPr>
        <w:pStyle w:val="ListNumber"/>
        <w:spacing w:after="180"/>
      </w:pPr>
      <w:r>
        <w:t xml:space="preserve">A </w:t>
      </w:r>
      <w:r>
        <w:rPr>
          <w:rFonts w:ascii="Consolas" w:hAnsi="Consolas"/>
          <w:sz w:val="20"/>
        </w:rPr>
        <w:t>Multiple comparisons</w:t>
      </w:r>
      <w:r>
        <w:t xml:space="preserve"> selector appears — set it to </w:t>
      </w:r>
      <w:r>
        <w:rPr>
          <w:rFonts w:ascii="Consolas" w:hAnsi="Consolas"/>
          <w:sz w:val="20"/>
        </w:rPr>
        <w:t>Holm</w:t>
      </w:r>
      <w:r>
        <w:t>.</w:t>
      </w:r>
    </w:p>
    <w:p w14:paraId="6E63B166" w14:textId="0B3593B4" w:rsidR="00555E5C" w:rsidRDefault="00555E5C">
      <w:pPr>
        <w:spacing w:after="200"/>
        <w:rPr>
          <w:i/>
          <w:color w:val="5B6471"/>
          <w:sz w:val="18"/>
        </w:rPr>
      </w:pPr>
      <w:r w:rsidRPr="00555E5C">
        <w:rPr>
          <w:i/>
          <w:noProof/>
          <w:color w:val="5B6471"/>
          <w:sz w:val="18"/>
        </w:rPr>
        <w:drawing>
          <wp:inline distT="0" distB="0" distL="0" distR="0" wp14:anchorId="21701418" wp14:editId="2455F3E4">
            <wp:extent cx="4944140" cy="3816842"/>
            <wp:effectExtent l="0" t="0" r="0" b="6350"/>
            <wp:docPr id="1743990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90319" name=""/>
                    <pic:cNvPicPr/>
                  </pic:nvPicPr>
                  <pic:blipFill>
                    <a:blip r:embed="rId9"/>
                    <a:stretch>
                      <a:fillRect/>
                    </a:stretch>
                  </pic:blipFill>
                  <pic:spPr>
                    <a:xfrm>
                      <a:off x="0" y="0"/>
                      <a:ext cx="4954951" cy="3825188"/>
                    </a:xfrm>
                    <a:prstGeom prst="rect">
                      <a:avLst/>
                    </a:prstGeom>
                  </pic:spPr>
                </pic:pic>
              </a:graphicData>
            </a:graphic>
          </wp:inline>
        </w:drawing>
      </w:r>
    </w:p>
    <w:p w14:paraId="367BE88B" w14:textId="1AE2159C" w:rsidR="00EF158C" w:rsidRDefault="00000000">
      <w:pPr>
        <w:spacing w:after="200"/>
      </w:pPr>
      <w:r>
        <w:rPr>
          <w:i/>
          <w:color w:val="5B6471"/>
          <w:sz w:val="18"/>
        </w:rPr>
        <w:t>Figure 2. The completed set-up.</w:t>
      </w:r>
    </w:p>
    <w:tbl>
      <w:tblPr>
        <w:tblW w:w="0" w:type="auto"/>
        <w:tblLook w:val="04A0" w:firstRow="1" w:lastRow="0" w:firstColumn="1" w:lastColumn="0" w:noHBand="0" w:noVBand="1"/>
      </w:tblPr>
      <w:tblGrid>
        <w:gridCol w:w="9411"/>
      </w:tblGrid>
      <w:tr w:rsidR="00EF158C" w14:paraId="51993CA2" w14:textId="77777777">
        <w:tc>
          <w:tcPr>
            <w:tcW w:w="9411" w:type="dxa"/>
            <w:tcBorders>
              <w:top w:val="single" w:sz="6" w:space="0" w:color="8FB0E8"/>
              <w:left w:val="single" w:sz="6" w:space="0" w:color="8FB0E8"/>
              <w:bottom w:val="single" w:sz="6" w:space="0" w:color="8FB0E8"/>
              <w:right w:val="single" w:sz="6" w:space="0" w:color="8FB0E8"/>
            </w:tcBorders>
            <w:shd w:val="clear" w:color="auto" w:fill="E8EFFC"/>
          </w:tcPr>
          <w:p w14:paraId="4A94DAC3" w14:textId="77777777" w:rsidR="00EF158C" w:rsidRDefault="00000000">
            <w:pPr>
              <w:spacing w:before="80" w:after="40"/>
            </w:pPr>
            <w:r>
              <w:rPr>
                <w:b/>
                <w:sz w:val="20"/>
              </w:rPr>
              <w:lastRenderedPageBreak/>
              <w:t>Why a correction, for only two tests?</w:t>
            </w:r>
          </w:p>
          <w:p w14:paraId="4B994281" w14:textId="77777777" w:rsidR="00EF158C" w:rsidRDefault="00000000">
            <w:pPr>
              <w:spacing w:after="120"/>
            </w:pPr>
            <w:r>
              <w:rPr>
                <w:sz w:val="20"/>
              </w:rPr>
              <w:t>Splitting by a factor with two levels means running two tests. Split by a factor with six levels and you have run six. The chance of at least one false positive grows with every extra group, so the correction belongs here just as much as in a deliberate batch. Guide 10 explains the options.</w:t>
            </w:r>
          </w:p>
        </w:tc>
      </w:tr>
    </w:tbl>
    <w:p w14:paraId="7EB7F0A9" w14:textId="77777777" w:rsidR="00EF158C" w:rsidRDefault="00EF158C">
      <w:pPr>
        <w:spacing w:after="40"/>
      </w:pPr>
    </w:p>
    <w:p w14:paraId="71986D1E" w14:textId="77777777" w:rsidR="00EF158C" w:rsidRDefault="00000000">
      <w:pPr>
        <w:pStyle w:val="Heading2"/>
      </w:pPr>
      <w:r>
        <w:t>5.  The result</w:t>
      </w:r>
    </w:p>
    <w:p w14:paraId="3B5197DA" w14:textId="00EF87B1" w:rsidR="00555E5C" w:rsidRDefault="00555E5C">
      <w:pPr>
        <w:spacing w:after="200"/>
        <w:rPr>
          <w:i/>
          <w:color w:val="5B6471"/>
          <w:sz w:val="18"/>
        </w:rPr>
      </w:pPr>
      <w:r w:rsidRPr="00555E5C">
        <w:rPr>
          <w:i/>
          <w:noProof/>
          <w:color w:val="5B6471"/>
          <w:sz w:val="18"/>
        </w:rPr>
        <w:drawing>
          <wp:inline distT="0" distB="0" distL="0" distR="0" wp14:anchorId="0035386B" wp14:editId="5AEFAD27">
            <wp:extent cx="5976620" cy="2884805"/>
            <wp:effectExtent l="0" t="0" r="5080" b="0"/>
            <wp:docPr id="1426454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54135" name=""/>
                    <pic:cNvPicPr/>
                  </pic:nvPicPr>
                  <pic:blipFill>
                    <a:blip r:embed="rId10"/>
                    <a:stretch>
                      <a:fillRect/>
                    </a:stretch>
                  </pic:blipFill>
                  <pic:spPr>
                    <a:xfrm>
                      <a:off x="0" y="0"/>
                      <a:ext cx="5976620" cy="2884805"/>
                    </a:xfrm>
                    <a:prstGeom prst="rect">
                      <a:avLst/>
                    </a:prstGeom>
                  </pic:spPr>
                </pic:pic>
              </a:graphicData>
            </a:graphic>
          </wp:inline>
        </w:drawing>
      </w:r>
    </w:p>
    <w:p w14:paraId="7F8384DF" w14:textId="107A350B" w:rsidR="00EF158C" w:rsidRDefault="00000000">
      <w:pPr>
        <w:spacing w:after="200"/>
      </w:pPr>
      <w:r>
        <w:rPr>
          <w:i/>
          <w:color w:val="5B6471"/>
          <w:sz w:val="18"/>
        </w:rPr>
        <w:t>Figure 3. The output.</w:t>
      </w:r>
    </w:p>
    <w:tbl>
      <w:tblPr>
        <w:tblStyle w:val="TableGrid"/>
        <w:tblW w:w="0" w:type="auto"/>
        <w:jc w:val="center"/>
        <w:tblLook w:val="04A0" w:firstRow="1" w:lastRow="0" w:firstColumn="1" w:lastColumn="0" w:noHBand="0" w:noVBand="1"/>
      </w:tblPr>
      <w:tblGrid>
        <w:gridCol w:w="2835"/>
        <w:gridCol w:w="1361"/>
        <w:gridCol w:w="1814"/>
        <w:gridCol w:w="3175"/>
      </w:tblGrid>
      <w:tr w:rsidR="00EF158C" w14:paraId="698CDCBA" w14:textId="77777777">
        <w:trPr>
          <w:tblHeader/>
          <w:jc w:val="center"/>
        </w:trPr>
        <w:tc>
          <w:tcPr>
            <w:tcW w:w="2835" w:type="dxa"/>
            <w:shd w:val="clear" w:color="auto" w:fill="E8EFFC"/>
          </w:tcPr>
          <w:p w14:paraId="738D4F2D" w14:textId="77777777" w:rsidR="00EF158C" w:rsidRDefault="00000000">
            <w:pPr>
              <w:spacing w:before="60" w:after="60"/>
            </w:pPr>
            <w:r>
              <w:rPr>
                <w:b/>
                <w:sz w:val="19"/>
              </w:rPr>
              <w:t>Group</w:t>
            </w:r>
          </w:p>
        </w:tc>
        <w:tc>
          <w:tcPr>
            <w:tcW w:w="1361" w:type="dxa"/>
            <w:shd w:val="clear" w:color="auto" w:fill="E8EFFC"/>
          </w:tcPr>
          <w:p w14:paraId="0F236E68" w14:textId="77777777" w:rsidR="00EF158C" w:rsidRDefault="00000000">
            <w:pPr>
              <w:spacing w:before="60" w:after="60"/>
            </w:pPr>
            <w:r>
              <w:rPr>
                <w:b/>
                <w:sz w:val="19"/>
              </w:rPr>
              <w:t>r</w:t>
            </w:r>
          </w:p>
        </w:tc>
        <w:tc>
          <w:tcPr>
            <w:tcW w:w="1814" w:type="dxa"/>
            <w:shd w:val="clear" w:color="auto" w:fill="E8EFFC"/>
          </w:tcPr>
          <w:p w14:paraId="5D4F4566" w14:textId="77777777" w:rsidR="00EF158C" w:rsidRDefault="00000000">
            <w:pPr>
              <w:spacing w:before="60" w:after="60"/>
            </w:pPr>
            <w:r>
              <w:rPr>
                <w:b/>
                <w:sz w:val="19"/>
              </w:rPr>
              <w:t>Adjusted p</w:t>
            </w:r>
          </w:p>
        </w:tc>
        <w:tc>
          <w:tcPr>
            <w:tcW w:w="3175" w:type="dxa"/>
            <w:shd w:val="clear" w:color="auto" w:fill="E8EFFC"/>
          </w:tcPr>
          <w:p w14:paraId="45264E0B" w14:textId="77777777" w:rsidR="00EF158C" w:rsidRDefault="00000000">
            <w:pPr>
              <w:spacing w:before="60" w:after="60"/>
            </w:pPr>
            <w:r>
              <w:rPr>
                <w:b/>
                <w:sz w:val="19"/>
              </w:rPr>
              <w:t>Meaning</w:t>
            </w:r>
          </w:p>
        </w:tc>
      </w:tr>
      <w:tr w:rsidR="00EF158C" w14:paraId="33FB1F84" w14:textId="77777777">
        <w:trPr>
          <w:jc w:val="center"/>
        </w:trPr>
        <w:tc>
          <w:tcPr>
            <w:tcW w:w="2835" w:type="dxa"/>
          </w:tcPr>
          <w:p w14:paraId="5BFCB884" w14:textId="77777777" w:rsidR="00EF158C" w:rsidRDefault="00000000">
            <w:pPr>
              <w:spacing w:before="60" w:after="60"/>
            </w:pPr>
            <w:r>
              <w:rPr>
                <w:rFonts w:ascii="Consolas" w:hAnsi="Consolas"/>
                <w:sz w:val="17"/>
              </w:rPr>
              <w:t>Shank3-KO</w:t>
            </w:r>
            <w:r>
              <w:rPr>
                <w:sz w:val="19"/>
              </w:rPr>
              <w:t xml:space="preserve"> (n = 90)</w:t>
            </w:r>
          </w:p>
        </w:tc>
        <w:tc>
          <w:tcPr>
            <w:tcW w:w="1361" w:type="dxa"/>
          </w:tcPr>
          <w:p w14:paraId="093F7DD8" w14:textId="77777777" w:rsidR="00EF158C" w:rsidRDefault="00000000">
            <w:pPr>
              <w:spacing w:before="60" w:after="60"/>
            </w:pPr>
            <w:r>
              <w:rPr>
                <w:sz w:val="19"/>
              </w:rPr>
              <w:t>−0.32</w:t>
            </w:r>
          </w:p>
        </w:tc>
        <w:tc>
          <w:tcPr>
            <w:tcW w:w="1814" w:type="dxa"/>
          </w:tcPr>
          <w:p w14:paraId="63CB6B6F" w14:textId="77777777" w:rsidR="00EF158C" w:rsidRDefault="00000000">
            <w:pPr>
              <w:spacing w:before="60" w:after="60"/>
            </w:pPr>
            <w:r>
              <w:rPr>
                <w:sz w:val="19"/>
              </w:rPr>
              <w:t>.005</w:t>
            </w:r>
          </w:p>
        </w:tc>
        <w:tc>
          <w:tcPr>
            <w:tcW w:w="3175" w:type="dxa"/>
          </w:tcPr>
          <w:p w14:paraId="0DE5625C" w14:textId="77777777" w:rsidR="00EF158C" w:rsidRDefault="00000000">
            <w:pPr>
              <w:spacing w:before="60" w:after="60"/>
            </w:pPr>
            <w:r>
              <w:rPr>
                <w:sz w:val="19"/>
              </w:rPr>
              <w:t>Significant relationship</w:t>
            </w:r>
          </w:p>
        </w:tc>
      </w:tr>
      <w:tr w:rsidR="00EF158C" w14:paraId="5DE51E2C" w14:textId="77777777">
        <w:trPr>
          <w:jc w:val="center"/>
        </w:trPr>
        <w:tc>
          <w:tcPr>
            <w:tcW w:w="2835" w:type="dxa"/>
          </w:tcPr>
          <w:p w14:paraId="43F4D85B" w14:textId="77777777" w:rsidR="00EF158C" w:rsidRDefault="00000000">
            <w:pPr>
              <w:spacing w:before="60" w:after="60"/>
            </w:pPr>
            <w:r>
              <w:rPr>
                <w:rFonts w:ascii="Consolas" w:hAnsi="Consolas"/>
                <w:sz w:val="17"/>
              </w:rPr>
              <w:t>WT</w:t>
            </w:r>
            <w:r>
              <w:rPr>
                <w:sz w:val="19"/>
              </w:rPr>
              <w:t xml:space="preserve"> (n = 90)</w:t>
            </w:r>
          </w:p>
        </w:tc>
        <w:tc>
          <w:tcPr>
            <w:tcW w:w="1361" w:type="dxa"/>
          </w:tcPr>
          <w:p w14:paraId="231CE6E3" w14:textId="77777777" w:rsidR="00EF158C" w:rsidRDefault="00000000">
            <w:pPr>
              <w:spacing w:before="60" w:after="60"/>
            </w:pPr>
            <w:r>
              <w:rPr>
                <w:sz w:val="19"/>
              </w:rPr>
              <w:t>−0.09</w:t>
            </w:r>
          </w:p>
        </w:tc>
        <w:tc>
          <w:tcPr>
            <w:tcW w:w="1814" w:type="dxa"/>
          </w:tcPr>
          <w:p w14:paraId="26D2656A" w14:textId="77777777" w:rsidR="00EF158C" w:rsidRDefault="00000000">
            <w:pPr>
              <w:spacing w:before="60" w:after="60"/>
            </w:pPr>
            <w:r>
              <w:rPr>
                <w:sz w:val="19"/>
              </w:rPr>
              <w:t>.411</w:t>
            </w:r>
          </w:p>
        </w:tc>
        <w:tc>
          <w:tcPr>
            <w:tcW w:w="3175" w:type="dxa"/>
          </w:tcPr>
          <w:p w14:paraId="708949E7" w14:textId="77777777" w:rsidR="00EF158C" w:rsidRDefault="00000000">
            <w:pPr>
              <w:spacing w:before="60" w:after="60"/>
            </w:pPr>
            <w:r>
              <w:rPr>
                <w:sz w:val="19"/>
              </w:rPr>
              <w:t>Nothing detectable</w:t>
            </w:r>
          </w:p>
        </w:tc>
      </w:tr>
    </w:tbl>
    <w:p w14:paraId="39C3768B" w14:textId="77777777" w:rsidR="00EF158C" w:rsidRDefault="00EF158C">
      <w:pPr>
        <w:spacing w:after="40"/>
      </w:pPr>
    </w:p>
    <w:p w14:paraId="1AA7964E" w14:textId="77777777" w:rsidR="00EF158C" w:rsidRDefault="00000000">
      <w:r>
        <w:t xml:space="preserve">At this point almost every student writes the same sentence: </w:t>
      </w:r>
      <w:r>
        <w:rPr>
          <w:i/>
        </w:rPr>
        <w:t>the relationship was present in the knockout mice but absent in the wild-types.</w:t>
      </w:r>
      <w:r>
        <w:t xml:space="preserve"> It is the obvious reading, and it is </w:t>
      </w:r>
      <w:r>
        <w:rPr>
          <w:b/>
        </w:rPr>
        <w:t>wrong</w:t>
      </w:r>
      <w:r>
        <w:t xml:space="preserve"> — or at least, nothing here has shown it. The line underneath is what settles it.</w:t>
      </w:r>
    </w:p>
    <w:p w14:paraId="2A3DDFB7" w14:textId="77777777" w:rsidR="00EF158C" w:rsidRDefault="00000000">
      <w:pPr>
        <w:pStyle w:val="Heading3"/>
      </w:pPr>
      <w:r>
        <w:t>The between-group comparison</w:t>
      </w:r>
    </w:p>
    <w:p w14:paraId="22BC3DDC" w14:textId="77777777" w:rsidR="00EF158C" w:rsidRDefault="00000000">
      <w:r>
        <w:t xml:space="preserve">Two correlations cannot be compared by subtracting them — r is not on a linear scale, so the gap between .90 and .80 is far bigger than the gap between .30 and .20. The proper test converts each r with </w:t>
      </w:r>
      <w:r>
        <w:rPr>
          <w:b/>
        </w:rPr>
        <w:t>Fisher's r-to-z</w:t>
      </w:r>
      <w:r>
        <w:t xml:space="preserve"> transformation first, and Plotara runs it for you:</w:t>
      </w:r>
    </w:p>
    <w:p w14:paraId="2A9DD440" w14:textId="77777777" w:rsidR="00EF158C" w:rsidRDefault="00000000">
      <w:r>
        <w:rPr>
          <w:b/>
        </w:rPr>
        <w:t>z = −1.59, p = .112</w:t>
      </w:r>
      <w:r>
        <w:t xml:space="preserve"> — the two correlations do </w:t>
      </w:r>
      <w:r>
        <w:rPr>
          <w:b/>
        </w:rPr>
        <w:t>not</w:t>
      </w:r>
      <w:r>
        <w:t xml:space="preserve"> differ significantly.</w:t>
      </w:r>
    </w:p>
    <w:p w14:paraId="03E45EFD" w14:textId="77777777" w:rsidR="00EF158C" w:rsidRDefault="00000000">
      <w:r>
        <w:t xml:space="preserve">So the honest conclusion is not that the relationship exists in one genotype and not the other. It is that we found it in the knockout mice, could not detect it in the wild-types, and </w:t>
      </w:r>
      <w:r>
        <w:rPr>
          <w:b/>
        </w:rPr>
        <w:t>do not have the evidence to say the two genotypes differ</w:t>
      </w:r>
      <w:r>
        <w:t>.</w:t>
      </w:r>
    </w:p>
    <w:tbl>
      <w:tblPr>
        <w:tblW w:w="0" w:type="auto"/>
        <w:tblLook w:val="04A0" w:firstRow="1" w:lastRow="0" w:firstColumn="1" w:lastColumn="0" w:noHBand="0" w:noVBand="1"/>
      </w:tblPr>
      <w:tblGrid>
        <w:gridCol w:w="9411"/>
      </w:tblGrid>
      <w:tr w:rsidR="00EF158C" w14:paraId="6BFBF99E" w14:textId="77777777">
        <w:tc>
          <w:tcPr>
            <w:tcW w:w="9411" w:type="dxa"/>
            <w:tcBorders>
              <w:top w:val="single" w:sz="6" w:space="0" w:color="E8A33D"/>
              <w:left w:val="single" w:sz="6" w:space="0" w:color="E8A33D"/>
              <w:bottom w:val="single" w:sz="6" w:space="0" w:color="E8A33D"/>
              <w:right w:val="single" w:sz="6" w:space="0" w:color="E8A33D"/>
            </w:tcBorders>
            <w:shd w:val="clear" w:color="auto" w:fill="FDF3E3"/>
          </w:tcPr>
          <w:p w14:paraId="6B1CCB2D" w14:textId="77777777" w:rsidR="00EF158C" w:rsidRDefault="00000000">
            <w:pPr>
              <w:spacing w:before="80" w:after="40"/>
            </w:pPr>
            <w:r>
              <w:rPr>
                <w:b/>
                <w:sz w:val="20"/>
              </w:rPr>
              <w:t>The most common mistake in student reports</w:t>
            </w:r>
          </w:p>
          <w:p w14:paraId="4AAB7130" w14:textId="77777777" w:rsidR="00EF158C" w:rsidRDefault="00000000">
            <w:pPr>
              <w:spacing w:after="60"/>
            </w:pPr>
            <w:r>
              <w:rPr>
                <w:i/>
                <w:sz w:val="20"/>
              </w:rPr>
              <w:t>Significant in group A but not in group B</w:t>
            </w:r>
            <w:r>
              <w:rPr>
                <w:sz w:val="20"/>
              </w:rPr>
              <w:t xml:space="preserve"> is </w:t>
            </w:r>
            <w:r>
              <w:rPr>
                <w:b/>
                <w:sz w:val="20"/>
              </w:rPr>
              <w:t>not</w:t>
            </w:r>
            <w:r>
              <w:rPr>
                <w:sz w:val="20"/>
              </w:rPr>
              <w:t xml:space="preserve"> evidence that A and B differ. One p-value landed at .005 and the other at .411, but those are two separate questions about two separate groups — neither one asks whether the </w:t>
            </w:r>
            <w:r>
              <w:rPr>
                <w:sz w:val="20"/>
              </w:rPr>
              <w:lastRenderedPageBreak/>
              <w:t>groups are different from each other.</w:t>
            </w:r>
          </w:p>
          <w:p w14:paraId="2E22113C" w14:textId="77777777" w:rsidR="00EF158C" w:rsidRDefault="00000000">
            <w:pPr>
              <w:spacing w:after="120"/>
            </w:pPr>
            <w:r>
              <w:rPr>
                <w:sz w:val="20"/>
              </w:rPr>
              <w:t>A correlation of −.32 and one of −.09 are closer together than they look, and with 90 neurons each there is easily enough noise to produce that gap by chance. Only the direct comparison can tell you, and here it says no.</w:t>
            </w:r>
          </w:p>
        </w:tc>
      </w:tr>
    </w:tbl>
    <w:p w14:paraId="3CA425E6" w14:textId="77777777" w:rsidR="00EF158C" w:rsidRDefault="00EF158C">
      <w:pPr>
        <w:spacing w:after="40"/>
      </w:pPr>
    </w:p>
    <w:p w14:paraId="004EBA02" w14:textId="77777777" w:rsidR="00EF158C" w:rsidRDefault="00000000">
      <w:pPr>
        <w:pStyle w:val="Heading3"/>
      </w:pPr>
      <w:r>
        <w:t>Writing it up</w:t>
      </w:r>
    </w:p>
    <w:p w14:paraId="67427CD8" w14:textId="77777777" w:rsidR="00EF158C" w:rsidRDefault="00000000">
      <w:r>
        <w:t>“Spine density was negatively correlated with reaction time in Shank3-KO mice (r = −.32, p = .005, Holm-corrected) but not in wild-types (r = −.09, p = .411). A Fisher r-to-z comparison found no significant difference between the two correlations, z = −1.59, p = .112.”</w:t>
      </w:r>
    </w:p>
    <w:p w14:paraId="7CBC6B6B" w14:textId="77777777" w:rsidR="00EF158C" w:rsidRDefault="00000000">
      <w:r>
        <w:rPr>
          <w:color w:val="5B6471"/>
          <w:sz w:val="20"/>
        </w:rPr>
        <w:t>Note how the last sentence does the real work. Without it a reader would assume the genotypes differ, and you would not have shown that.</w:t>
      </w:r>
    </w:p>
    <w:p w14:paraId="6371E73F" w14:textId="77777777" w:rsidR="00EF158C" w:rsidRDefault="00000000">
      <w:pPr>
        <w:pStyle w:val="Heading2"/>
      </w:pPr>
      <w:r>
        <w:t>6.  Now try it yourself</w:t>
      </w:r>
    </w:p>
    <w:p w14:paraId="23C15400" w14:textId="77777777" w:rsidR="00EF158C" w:rsidRDefault="00000000">
      <w:r>
        <w:rPr>
          <w:rFonts w:ascii="Consolas" w:hAnsi="Consolas"/>
          <w:sz w:val="20"/>
        </w:rPr>
        <w:t>Group by</w:t>
      </w:r>
      <w:r>
        <w:t xml:space="preserve"> is not only for correlations. Try these:</w:t>
      </w:r>
    </w:p>
    <w:tbl>
      <w:tblPr>
        <w:tblStyle w:val="TableGrid"/>
        <w:tblW w:w="0" w:type="auto"/>
        <w:jc w:val="center"/>
        <w:tblLook w:val="04A0" w:firstRow="1" w:lastRow="0" w:firstColumn="1" w:lastColumn="0" w:noHBand="0" w:noVBand="1"/>
      </w:tblPr>
      <w:tblGrid>
        <w:gridCol w:w="4082"/>
        <w:gridCol w:w="5102"/>
      </w:tblGrid>
      <w:tr w:rsidR="00EF158C" w14:paraId="2FA92A27" w14:textId="77777777">
        <w:trPr>
          <w:tblHeader/>
          <w:jc w:val="center"/>
        </w:trPr>
        <w:tc>
          <w:tcPr>
            <w:tcW w:w="4082" w:type="dxa"/>
            <w:shd w:val="clear" w:color="auto" w:fill="E8EFFC"/>
          </w:tcPr>
          <w:p w14:paraId="4AC03DFF" w14:textId="77777777" w:rsidR="00EF158C" w:rsidRDefault="00000000">
            <w:pPr>
              <w:spacing w:before="60" w:after="60"/>
            </w:pPr>
            <w:r>
              <w:rPr>
                <w:b/>
                <w:sz w:val="19"/>
              </w:rPr>
              <w:t>Try this</w:t>
            </w:r>
          </w:p>
        </w:tc>
        <w:tc>
          <w:tcPr>
            <w:tcW w:w="5102" w:type="dxa"/>
            <w:shd w:val="clear" w:color="auto" w:fill="E8EFFC"/>
          </w:tcPr>
          <w:p w14:paraId="4C1729BE" w14:textId="77777777" w:rsidR="00EF158C" w:rsidRDefault="00000000">
            <w:pPr>
              <w:spacing w:before="60" w:after="60"/>
            </w:pPr>
            <w:r>
              <w:rPr>
                <w:b/>
                <w:sz w:val="19"/>
              </w:rPr>
              <w:t>The question you are asking</w:t>
            </w:r>
          </w:p>
        </w:tc>
      </w:tr>
      <w:tr w:rsidR="00EF158C" w14:paraId="03B9A5D0" w14:textId="77777777">
        <w:trPr>
          <w:jc w:val="center"/>
        </w:trPr>
        <w:tc>
          <w:tcPr>
            <w:tcW w:w="4082" w:type="dxa"/>
          </w:tcPr>
          <w:p w14:paraId="07C2E2A1" w14:textId="77777777" w:rsidR="00EF158C" w:rsidRDefault="00000000">
            <w:pPr>
              <w:spacing w:before="60" w:after="60"/>
            </w:pPr>
            <w:r>
              <w:rPr>
                <w:sz w:val="19"/>
              </w:rPr>
              <w:t xml:space="preserve">Pearson </w:t>
            </w:r>
            <w:r>
              <w:rPr>
                <w:rFonts w:ascii="Consolas" w:hAnsi="Consolas"/>
                <w:sz w:val="17"/>
              </w:rPr>
              <w:t>SpineDensity_per10um</w:t>
            </w:r>
            <w:r>
              <w:rPr>
                <w:sz w:val="19"/>
              </w:rPr>
              <w:t xml:space="preserve"> vs </w:t>
            </w:r>
            <w:r>
              <w:rPr>
                <w:rFonts w:ascii="Consolas" w:hAnsi="Consolas"/>
                <w:sz w:val="17"/>
              </w:rPr>
              <w:t>MemoryScore_pct</w:t>
            </w:r>
            <w:r>
              <w:rPr>
                <w:sz w:val="19"/>
              </w:rPr>
              <w:t xml:space="preserve">, grouped by </w:t>
            </w:r>
            <w:r>
              <w:rPr>
                <w:rFonts w:ascii="Consolas" w:hAnsi="Consolas"/>
                <w:sz w:val="17"/>
              </w:rPr>
              <w:t>Genotype</w:t>
            </w:r>
          </w:p>
        </w:tc>
        <w:tc>
          <w:tcPr>
            <w:tcW w:w="5102" w:type="dxa"/>
          </w:tcPr>
          <w:p w14:paraId="5A7CE067" w14:textId="77777777" w:rsidR="00EF158C" w:rsidRDefault="00000000">
            <w:pPr>
              <w:spacing w:before="60" w:after="60"/>
            </w:pPr>
            <w:r>
              <w:rPr>
                <w:sz w:val="19"/>
              </w:rPr>
              <w:t xml:space="preserve">A much stronger relationship — does </w:t>
            </w:r>
            <w:r>
              <w:rPr>
                <w:i/>
                <w:sz w:val="19"/>
              </w:rPr>
              <w:t>it</w:t>
            </w:r>
            <w:r>
              <w:rPr>
                <w:sz w:val="19"/>
              </w:rPr>
              <w:t xml:space="preserve"> differ between the genotypes?</w:t>
            </w:r>
          </w:p>
        </w:tc>
      </w:tr>
      <w:tr w:rsidR="00EF158C" w14:paraId="76B8B08F" w14:textId="77777777">
        <w:trPr>
          <w:jc w:val="center"/>
        </w:trPr>
        <w:tc>
          <w:tcPr>
            <w:tcW w:w="4082" w:type="dxa"/>
          </w:tcPr>
          <w:p w14:paraId="041AE09A" w14:textId="77777777" w:rsidR="00EF158C" w:rsidRDefault="00000000">
            <w:pPr>
              <w:spacing w:before="60" w:after="60"/>
            </w:pPr>
            <w:r>
              <w:rPr>
                <w:sz w:val="19"/>
              </w:rPr>
              <w:t xml:space="preserve">Pearson </w:t>
            </w:r>
            <w:r>
              <w:rPr>
                <w:rFonts w:ascii="Consolas" w:hAnsi="Consolas"/>
                <w:sz w:val="17"/>
              </w:rPr>
              <w:t>SpineDensity_per10um</w:t>
            </w:r>
            <w:r>
              <w:rPr>
                <w:sz w:val="19"/>
              </w:rPr>
              <w:t xml:space="preserve"> vs </w:t>
            </w:r>
            <w:r>
              <w:rPr>
                <w:rFonts w:ascii="Consolas" w:hAnsi="Consolas"/>
                <w:sz w:val="17"/>
              </w:rPr>
              <w:t>ReactionTime_ms</w:t>
            </w:r>
            <w:r>
              <w:rPr>
                <w:sz w:val="19"/>
              </w:rPr>
              <w:t xml:space="preserve">, grouped by </w:t>
            </w:r>
            <w:r>
              <w:rPr>
                <w:rFonts w:ascii="Consolas" w:hAnsi="Consolas"/>
                <w:sz w:val="17"/>
              </w:rPr>
              <w:t>BrainRegion</w:t>
            </w:r>
          </w:p>
        </w:tc>
        <w:tc>
          <w:tcPr>
            <w:tcW w:w="5102" w:type="dxa"/>
          </w:tcPr>
          <w:p w14:paraId="162724BA" w14:textId="77777777" w:rsidR="00EF158C" w:rsidRDefault="00000000">
            <w:pPr>
              <w:spacing w:before="60" w:after="60"/>
            </w:pPr>
            <w:r>
              <w:rPr>
                <w:sz w:val="19"/>
              </w:rPr>
              <w:t>Three groups instead of two — watch the correction get stricter.</w:t>
            </w:r>
          </w:p>
        </w:tc>
      </w:tr>
      <w:tr w:rsidR="00EF158C" w14:paraId="4C0C8875" w14:textId="77777777">
        <w:trPr>
          <w:jc w:val="center"/>
        </w:trPr>
        <w:tc>
          <w:tcPr>
            <w:tcW w:w="4082" w:type="dxa"/>
          </w:tcPr>
          <w:p w14:paraId="265A589C" w14:textId="77777777" w:rsidR="00EF158C" w:rsidRDefault="00000000">
            <w:pPr>
              <w:spacing w:before="60" w:after="60"/>
            </w:pPr>
            <w:r>
              <w:rPr>
                <w:sz w:val="19"/>
              </w:rPr>
              <w:t xml:space="preserve">Pearson grouped by </w:t>
            </w:r>
            <w:r>
              <w:rPr>
                <w:rFonts w:ascii="Consolas" w:hAnsi="Consolas"/>
                <w:sz w:val="17"/>
              </w:rPr>
              <w:t>Genotype</w:t>
            </w:r>
            <w:r>
              <w:rPr>
                <w:sz w:val="19"/>
              </w:rPr>
              <w:t xml:space="preserve"> </w:t>
            </w:r>
            <w:r>
              <w:rPr>
                <w:b/>
                <w:sz w:val="19"/>
              </w:rPr>
              <w:t>and</w:t>
            </w:r>
            <w:r>
              <w:rPr>
                <w:sz w:val="19"/>
              </w:rPr>
              <w:t xml:space="preserve"> </w:t>
            </w:r>
            <w:r>
              <w:rPr>
                <w:rFonts w:ascii="Consolas" w:hAnsi="Consolas"/>
                <w:sz w:val="17"/>
              </w:rPr>
              <w:t>Treatment</w:t>
            </w:r>
          </w:p>
        </w:tc>
        <w:tc>
          <w:tcPr>
            <w:tcW w:w="5102" w:type="dxa"/>
          </w:tcPr>
          <w:p w14:paraId="7306197B" w14:textId="77777777" w:rsidR="00EF158C" w:rsidRDefault="00000000">
            <w:pPr>
              <w:spacing w:before="60" w:after="60"/>
            </w:pPr>
            <w:r>
              <w:rPr>
                <w:sz w:val="19"/>
              </w:rPr>
              <w:t>Click both columns: the test runs within each of the four combinations.</w:t>
            </w:r>
          </w:p>
        </w:tc>
      </w:tr>
      <w:tr w:rsidR="00EF158C" w14:paraId="3ABD4367" w14:textId="77777777">
        <w:trPr>
          <w:jc w:val="center"/>
        </w:trPr>
        <w:tc>
          <w:tcPr>
            <w:tcW w:w="4082" w:type="dxa"/>
          </w:tcPr>
          <w:p w14:paraId="17DBC540" w14:textId="77777777" w:rsidR="00EF158C" w:rsidRDefault="00000000">
            <w:pPr>
              <w:spacing w:before="60" w:after="60"/>
            </w:pPr>
            <w:r>
              <w:rPr>
                <w:sz w:val="19"/>
              </w:rPr>
              <w:t xml:space="preserve">Chi-square or a one-sample t-test with a </w:t>
            </w:r>
            <w:r>
              <w:rPr>
                <w:rFonts w:ascii="Consolas" w:hAnsi="Consolas"/>
                <w:sz w:val="17"/>
              </w:rPr>
              <w:t>Group by</w:t>
            </w:r>
            <w:r>
              <w:rPr>
                <w:sz w:val="19"/>
              </w:rPr>
              <w:t xml:space="preserve"> column</w:t>
            </w:r>
          </w:p>
        </w:tc>
        <w:tc>
          <w:tcPr>
            <w:tcW w:w="5102" w:type="dxa"/>
          </w:tcPr>
          <w:p w14:paraId="652AEC6F" w14:textId="77777777" w:rsidR="00EF158C" w:rsidRDefault="00000000">
            <w:pPr>
              <w:spacing w:before="60" w:after="60"/>
            </w:pPr>
            <w:r>
              <w:rPr>
                <w:sz w:val="19"/>
              </w:rPr>
              <w:t>Find which other tests offer the box.</w:t>
            </w:r>
          </w:p>
        </w:tc>
      </w:tr>
    </w:tbl>
    <w:p w14:paraId="09CFA189" w14:textId="77777777" w:rsidR="00EF158C" w:rsidRDefault="00EF158C">
      <w:pPr>
        <w:spacing w:after="40"/>
      </w:pPr>
    </w:p>
    <w:p w14:paraId="7D74B372" w14:textId="77777777" w:rsidR="00EF158C" w:rsidRDefault="00000000">
      <w:r>
        <w:t>Two things to notice:</w:t>
      </w:r>
    </w:p>
    <w:p w14:paraId="011522D7" w14:textId="77777777" w:rsidR="00EF158C" w:rsidRDefault="00000000">
      <w:pPr>
        <w:pStyle w:val="ListBullet"/>
        <w:spacing w:after="60"/>
      </w:pPr>
      <w:r>
        <w:rPr>
          <w:b/>
        </w:rPr>
        <w:t>Splitting costs you power.</w:t>
      </w:r>
      <w:r>
        <w:t xml:space="preserve"> Each group has half the observations, which is exactly why the wild-type correlation came out non-significant. A relationship does not disappear when you split the sample; your ability to detect it does.</w:t>
      </w:r>
    </w:p>
    <w:p w14:paraId="22E64057" w14:textId="77777777" w:rsidR="00EF158C" w:rsidRDefault="00000000">
      <w:pPr>
        <w:pStyle w:val="ListBullet"/>
        <w:spacing w:after="180"/>
      </w:pPr>
      <w:r>
        <w:rPr>
          <w:b/>
        </w:rPr>
        <w:t>Group by is not the same as a two-way ANOVA.</w:t>
      </w:r>
      <w:r>
        <w:t xml:space="preserve"> Splitting asks the question separately in each group; a factorial design asks whether the groups differ, in one model. Use the split when the groups are genuinely separate stories.</w:t>
      </w:r>
    </w:p>
    <w:sectPr w:rsidR="00EF158C" w:rsidSect="00034616">
      <w:footerReference w:type="default" r:id="rId11"/>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4CC1EF" w14:textId="77777777" w:rsidR="00CA37F1" w:rsidRDefault="00CA37F1">
      <w:pPr>
        <w:spacing w:after="0" w:line="240" w:lineRule="auto"/>
      </w:pPr>
      <w:r>
        <w:separator/>
      </w:r>
    </w:p>
  </w:endnote>
  <w:endnote w:type="continuationSeparator" w:id="0">
    <w:p w14:paraId="0F8A948D" w14:textId="77777777" w:rsidR="00CA37F1" w:rsidRDefault="00CA3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BBE107" w14:textId="77777777" w:rsidR="00EF158C" w:rsidRDefault="00000000">
    <w:pPr>
      <w:pStyle w:val="Footer"/>
      <w:jc w:val="center"/>
    </w:pPr>
    <w:r>
      <w:rPr>
        <w:color w:val="5B6471"/>
        <w:sz w:val="16"/>
      </w:rPr>
      <w:t xml:space="preserve">Plotara teaching </w:t>
    </w:r>
    <w:proofErr w:type="gramStart"/>
    <w:r>
      <w:rPr>
        <w:color w:val="5B6471"/>
        <w:sz w:val="16"/>
      </w:rPr>
      <w:t>series  |</w:t>
    </w:r>
    <w:proofErr w:type="gramEnd"/>
    <w:r>
      <w:rPr>
        <w:color w:val="5B6471"/>
        <w:sz w:val="16"/>
      </w:rPr>
      <w:t xml:space="preserve">  Group-by analyses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980B31" w14:textId="77777777" w:rsidR="00CA37F1" w:rsidRDefault="00CA37F1">
      <w:pPr>
        <w:spacing w:after="0" w:line="240" w:lineRule="auto"/>
      </w:pPr>
      <w:r>
        <w:separator/>
      </w:r>
    </w:p>
  </w:footnote>
  <w:footnote w:type="continuationSeparator" w:id="0">
    <w:p w14:paraId="09DB603B" w14:textId="77777777" w:rsidR="00CA37F1" w:rsidRDefault="00CA3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6009845">
    <w:abstractNumId w:val="8"/>
  </w:num>
  <w:num w:numId="2" w16cid:durableId="179588048">
    <w:abstractNumId w:val="6"/>
  </w:num>
  <w:num w:numId="3" w16cid:durableId="487795271">
    <w:abstractNumId w:val="5"/>
  </w:num>
  <w:num w:numId="4" w16cid:durableId="2065054718">
    <w:abstractNumId w:val="4"/>
  </w:num>
  <w:num w:numId="5" w16cid:durableId="1046297150">
    <w:abstractNumId w:val="7"/>
  </w:num>
  <w:num w:numId="6" w16cid:durableId="1273825269">
    <w:abstractNumId w:val="3"/>
  </w:num>
  <w:num w:numId="7" w16cid:durableId="1574510234">
    <w:abstractNumId w:val="2"/>
  </w:num>
  <w:num w:numId="8" w16cid:durableId="273023587">
    <w:abstractNumId w:val="1"/>
  </w:num>
  <w:num w:numId="9" w16cid:durableId="390808881">
    <w:abstractNumId w:val="0"/>
  </w:num>
  <w:num w:numId="10" w16cid:durableId="226300889">
    <w:abstractNumId w:val="7"/>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BF2"/>
    <w:rsid w:val="0015074B"/>
    <w:rsid w:val="002466DA"/>
    <w:rsid w:val="0029639D"/>
    <w:rsid w:val="00326F90"/>
    <w:rsid w:val="00555E5C"/>
    <w:rsid w:val="0062545B"/>
    <w:rsid w:val="00AA1D8D"/>
    <w:rsid w:val="00B47730"/>
    <w:rsid w:val="00CA37F1"/>
    <w:rsid w:val="00CB0664"/>
    <w:rsid w:val="00D668F2"/>
    <w:rsid w:val="00EF15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895BB7"/>
  <w14:defaultImageDpi w14:val="300"/>
  <w15:docId w15:val="{C412AB5C-DAF5-1849-9B5A-7897763AD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Calibri" w:hAnsi="Calibri"/>
      <w:color w:val="1F242E"/>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color w:val="3B6FD4"/>
      <w:sz w:val="3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3B6FD4"/>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Jane Jones</cp:lastModifiedBy>
  <cp:revision>3</cp:revision>
  <dcterms:created xsi:type="dcterms:W3CDTF">2013-12-23T23:15:00Z</dcterms:created>
  <dcterms:modified xsi:type="dcterms:W3CDTF">2026-07-31T11:22:00Z</dcterms:modified>
  <cp:category/>
</cp:coreProperties>
</file>