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FA4D5" w14:textId="77777777" w:rsidR="00281AE9" w:rsidRDefault="00000000">
      <w:pPr>
        <w:spacing w:after="40"/>
      </w:pPr>
      <w:r>
        <w:rPr>
          <w:b/>
          <w:color w:val="3B6FD4"/>
          <w:sz w:val="19"/>
        </w:rPr>
        <w:t>PLOTARA TEACHING SERIES  ·  GUIDE 8</w:t>
      </w:r>
    </w:p>
    <w:p w14:paraId="7CD3613B" w14:textId="77777777" w:rsidR="00281AE9" w:rsidRDefault="00000000">
      <w:pPr>
        <w:spacing w:after="80"/>
      </w:pPr>
      <w:r>
        <w:rPr>
          <w:b/>
          <w:sz w:val="52"/>
        </w:rPr>
        <w:t>Correlation</w:t>
      </w:r>
    </w:p>
    <w:p w14:paraId="54461D2D" w14:textId="77777777" w:rsidR="00281AE9" w:rsidRDefault="00000000">
      <w:pPr>
        <w:spacing w:after="200"/>
      </w:pPr>
      <w:r>
        <w:rPr>
          <w:color w:val="5B6471"/>
          <w:sz w:val="24"/>
        </w:rPr>
        <w:t>Do two measurements move together?</w:t>
      </w:r>
    </w:p>
    <w:p w14:paraId="20DA3438" w14:textId="77777777" w:rsidR="00281AE9" w:rsidRDefault="00281AE9">
      <w:pPr>
        <w:pBdr>
          <w:bottom w:val="single" w:sz="6" w:space="6" w:color="D6DCE6"/>
        </w:pBdr>
        <w:spacing w:before="40" w:after="40"/>
      </w:pPr>
    </w:p>
    <w:p w14:paraId="6E121F42" w14:textId="44040ED5" w:rsidR="00281AE9" w:rsidRDefault="00000000">
      <w:pPr>
        <w:spacing w:after="40"/>
      </w:pPr>
      <w:r>
        <w:rPr>
          <w:b/>
          <w:sz w:val="19"/>
        </w:rPr>
        <w:t xml:space="preserve">Dataset:  </w:t>
      </w:r>
      <w:r w:rsidR="0014223E" w:rsidRPr="0014223E">
        <w:rPr>
          <w:color w:val="5B6471"/>
          <w:sz w:val="19"/>
        </w:rPr>
        <w:t>Dataset_2_Neuron_study</w:t>
      </w:r>
      <w:r>
        <w:rPr>
          <w:color w:val="5B6471"/>
          <w:sz w:val="19"/>
        </w:rPr>
        <w:t>.csv</w:t>
      </w:r>
    </w:p>
    <w:p w14:paraId="48461BCA" w14:textId="77777777" w:rsidR="00281AE9" w:rsidRDefault="00281AE9">
      <w:pPr>
        <w:spacing w:after="80"/>
      </w:pPr>
    </w:p>
    <w:p w14:paraId="44A4F51E" w14:textId="77777777" w:rsidR="00281AE9" w:rsidRDefault="00000000">
      <w:pPr>
        <w:pStyle w:val="Heading2"/>
      </w:pPr>
      <w:r>
        <w:t>1.  The data</w:t>
      </w:r>
    </w:p>
    <w:p w14:paraId="075C467C" w14:textId="0C144E30" w:rsidR="00281AE9" w:rsidRDefault="00000000">
      <w:r>
        <w:t xml:space="preserve">Researchers recorded </w:t>
      </w:r>
      <w:r>
        <w:rPr>
          <w:b/>
        </w:rPr>
        <w:t>180 individual neurons</w:t>
      </w:r>
      <w:r>
        <w:t xml:space="preserve"> from mice and, for each one, also timed how quickly the mouse it came from responded on a behavioural task. Every neuron was recorded once, so </w:t>
      </w:r>
      <w:r w:rsidR="0014223E" w:rsidRPr="0014223E">
        <w:rPr>
          <w:rFonts w:ascii="Consolas" w:hAnsi="Consolas"/>
          <w:sz w:val="20"/>
        </w:rPr>
        <w:t>Dataset_2_Neuron_study</w:t>
      </w:r>
      <w:r>
        <w:rPr>
          <w:rFonts w:ascii="Consolas" w:hAnsi="Consolas"/>
          <w:sz w:val="20"/>
        </w:rPr>
        <w:t>.csv</w:t>
      </w:r>
      <w:r>
        <w:t xml:space="preserve"> has </w:t>
      </w:r>
      <w:r>
        <w:rPr>
          <w:b/>
        </w:rPr>
        <w:t>one row per neuron</w:t>
      </w:r>
      <w:r>
        <w:t>.</w:t>
      </w:r>
    </w:p>
    <w:p w14:paraId="7A08BA91" w14:textId="77777777" w:rsidR="00281AE9" w:rsidRDefault="00000000">
      <w:r>
        <w:t xml:space="preserve">Load it on the </w:t>
      </w:r>
      <w:r>
        <w:rPr>
          <w:rFonts w:ascii="Consolas" w:hAnsi="Consolas"/>
          <w:sz w:val="20"/>
        </w:rPr>
        <w:t>Data</w:t>
      </w:r>
      <w:r>
        <w:t xml:space="preserve"> tab. Two columns matter today, and both are continuous measurements attached to the same neuron: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350"/>
      </w:tblGrid>
      <w:tr w:rsidR="00281AE9" w14:paraId="717C672A" w14:textId="77777777">
        <w:trPr>
          <w:tblHeader/>
          <w:jc w:val="center"/>
        </w:trPr>
        <w:tc>
          <w:tcPr>
            <w:tcW w:w="2835" w:type="dxa"/>
            <w:shd w:val="clear" w:color="auto" w:fill="E8EFFC"/>
          </w:tcPr>
          <w:p w14:paraId="3BEA3D5E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Column</w:t>
            </w:r>
          </w:p>
        </w:tc>
        <w:tc>
          <w:tcPr>
            <w:tcW w:w="6350" w:type="dxa"/>
            <w:shd w:val="clear" w:color="auto" w:fill="E8EFFC"/>
          </w:tcPr>
          <w:p w14:paraId="2441202F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What it is</w:t>
            </w:r>
          </w:p>
        </w:tc>
      </w:tr>
      <w:tr w:rsidR="00281AE9" w14:paraId="3CFB238B" w14:textId="77777777">
        <w:trPr>
          <w:jc w:val="center"/>
        </w:trPr>
        <w:tc>
          <w:tcPr>
            <w:tcW w:w="2835" w:type="dxa"/>
          </w:tcPr>
          <w:p w14:paraId="4C8EAA06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SpineDensity_per10um</w:t>
            </w:r>
          </w:p>
        </w:tc>
        <w:tc>
          <w:tcPr>
            <w:tcW w:w="6350" w:type="dxa"/>
          </w:tcPr>
          <w:p w14:paraId="181D7416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How many dendritic spines the neuron has per 10 µm — roughly, how many connections it can receive.</w:t>
            </w:r>
          </w:p>
        </w:tc>
      </w:tr>
      <w:tr w:rsidR="00281AE9" w14:paraId="19FEFD26" w14:textId="77777777">
        <w:trPr>
          <w:jc w:val="center"/>
        </w:trPr>
        <w:tc>
          <w:tcPr>
            <w:tcW w:w="2835" w:type="dxa"/>
          </w:tcPr>
          <w:p w14:paraId="098F6424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ReactionTime_ms</w:t>
            </w:r>
          </w:p>
        </w:tc>
        <w:tc>
          <w:tcPr>
            <w:tcW w:w="6350" w:type="dxa"/>
          </w:tcPr>
          <w:p w14:paraId="5D0167FB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 xml:space="preserve">How long the mouse that neuron came from took to respond, in milliseconds. </w:t>
            </w:r>
            <w:r>
              <w:rPr>
                <w:b/>
                <w:sz w:val="19"/>
              </w:rPr>
              <w:t>Lower is faster.</w:t>
            </w:r>
          </w:p>
        </w:tc>
      </w:tr>
    </w:tbl>
    <w:p w14:paraId="66426309" w14:textId="77777777" w:rsidR="00281AE9" w:rsidRDefault="00281AE9">
      <w:pPr>
        <w:spacing w:after="40"/>
      </w:pPr>
    </w:p>
    <w:p w14:paraId="1BDE2E02" w14:textId="77777777" w:rsidR="00281AE9" w:rsidRDefault="00000000">
      <w:pPr>
        <w:pStyle w:val="Heading2"/>
      </w:pPr>
      <w:r>
        <w:t>2.  The question</w:t>
      </w:r>
    </w:p>
    <w:p w14:paraId="3597BF1F" w14:textId="77777777" w:rsidR="00281AE9" w:rsidRDefault="00000000">
      <w:r>
        <w:rPr>
          <w:b/>
        </w:rPr>
        <w:t>Do neurons with more spines come from mice that respond faster?</w:t>
      </w:r>
      <w:r>
        <w:t xml:space="preserve"> There are no groups here and nothing was manipulated — just two numbers per neuron, and the question of whether they travel together.</w:t>
      </w:r>
    </w:p>
    <w:p w14:paraId="198BCB2D" w14:textId="77777777" w:rsidR="00281AE9" w:rsidRDefault="00000000">
      <w:pPr>
        <w:pStyle w:val="ListNumber"/>
        <w:spacing w:after="60"/>
      </w:pPr>
      <w:r>
        <w:rPr>
          <w:rFonts w:ascii="Consolas" w:hAnsi="Consolas"/>
          <w:sz w:val="20"/>
        </w:rPr>
        <w:t>Plotting</w:t>
      </w:r>
      <w:r>
        <w:t xml:space="preserve"> tab → </w:t>
      </w:r>
      <w:r>
        <w:rPr>
          <w:rFonts w:ascii="Consolas" w:hAnsi="Consolas"/>
          <w:sz w:val="20"/>
        </w:rPr>
        <w:t>Scatter</w:t>
      </w:r>
      <w:r>
        <w:t>.</w:t>
      </w:r>
    </w:p>
    <w:p w14:paraId="22FE38B1" w14:textId="77777777" w:rsidR="00281AE9" w:rsidRDefault="00000000">
      <w:pPr>
        <w:pStyle w:val="ListNumber"/>
        <w:spacing w:after="180"/>
      </w:pPr>
      <w:r>
        <w:rPr>
          <w:rFonts w:ascii="Consolas" w:hAnsi="Consolas"/>
          <w:sz w:val="20"/>
        </w:rPr>
        <w:t>X Axis</w:t>
      </w:r>
      <w:r>
        <w:t xml:space="preserve"> → </w:t>
      </w:r>
      <w:r>
        <w:rPr>
          <w:rFonts w:ascii="Consolas" w:hAnsi="Consolas"/>
          <w:sz w:val="20"/>
        </w:rPr>
        <w:t>SpineDensity_per10</w:t>
      </w:r>
      <w:proofErr w:type="gramStart"/>
      <w:r>
        <w:rPr>
          <w:rFonts w:ascii="Consolas" w:hAnsi="Consolas"/>
          <w:sz w:val="20"/>
        </w:rPr>
        <w:t>um</w:t>
      </w:r>
      <w:r>
        <w:t xml:space="preserve">,  </w:t>
      </w:r>
      <w:r>
        <w:rPr>
          <w:rFonts w:ascii="Consolas" w:hAnsi="Consolas"/>
          <w:sz w:val="20"/>
        </w:rPr>
        <w:t>Y</w:t>
      </w:r>
      <w:proofErr w:type="gramEnd"/>
      <w:r>
        <w:rPr>
          <w:rFonts w:ascii="Consolas" w:hAnsi="Consolas"/>
          <w:sz w:val="20"/>
        </w:rPr>
        <w:t xml:space="preserve"> Axis</w:t>
      </w:r>
      <w:r>
        <w:t xml:space="preserve"> → </w:t>
      </w:r>
      <w:proofErr w:type="spellStart"/>
      <w:r>
        <w:rPr>
          <w:rFonts w:ascii="Consolas" w:hAnsi="Consolas"/>
          <w:sz w:val="20"/>
        </w:rPr>
        <w:t>ReactionTime_ms</w:t>
      </w:r>
      <w:proofErr w:type="spellEnd"/>
      <w:r>
        <w:t>.</w:t>
      </w:r>
    </w:p>
    <w:p w14:paraId="684D0C08" w14:textId="3B37DFF1" w:rsidR="00C14AF5" w:rsidRPr="00C14AF5" w:rsidRDefault="00C14AF5">
      <w:pPr>
        <w:pStyle w:val="ListNumber"/>
        <w:spacing w:after="180"/>
      </w:pPr>
      <w:r>
        <w:rPr>
          <w:rFonts w:ascii="Consolas" w:hAnsi="Consolas"/>
          <w:sz w:val="20"/>
        </w:rPr>
        <w:t>Add the trendline</w:t>
      </w:r>
    </w:p>
    <w:p w14:paraId="5E83F1D8" w14:textId="725DC0C5" w:rsidR="00C14AF5" w:rsidRDefault="00C14AF5" w:rsidP="00C14AF5">
      <w:pPr>
        <w:pStyle w:val="ListNumber"/>
        <w:numPr>
          <w:ilvl w:val="0"/>
          <w:numId w:val="0"/>
        </w:numPr>
        <w:spacing w:after="180"/>
      </w:pPr>
      <w:r>
        <w:rPr>
          <w:noProof/>
        </w:rPr>
        <w:drawing>
          <wp:inline distT="0" distB="0" distL="0" distR="0" wp14:anchorId="11B93E21" wp14:editId="2A8DEEE0">
            <wp:extent cx="3927957" cy="2339162"/>
            <wp:effectExtent l="0" t="0" r="0" b="0"/>
            <wp:docPr id="184818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8355" name="Picture 1848183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1875" cy="235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765B3" w14:textId="77777777" w:rsidR="00281AE9" w:rsidRDefault="00000000">
      <w:pPr>
        <w:spacing w:after="200"/>
      </w:pPr>
      <w:r>
        <w:rPr>
          <w:i/>
          <w:color w:val="5B6471"/>
          <w:sz w:val="18"/>
        </w:rPr>
        <w:t>Figure 1. Each dot is one neuron.</w:t>
      </w:r>
    </w:p>
    <w:p w14:paraId="62E58D85" w14:textId="77777777" w:rsidR="00281AE9" w:rsidRDefault="00000000">
      <w:r>
        <w:lastRenderedPageBreak/>
        <w:t xml:space="preserve">The cloud slopes </w:t>
      </w:r>
      <w:r>
        <w:rPr>
          <w:b/>
        </w:rPr>
        <w:t>downwards</w:t>
      </w:r>
      <w:r>
        <w:t xml:space="preserve">: neurons with more spines tend to come from mice with </w:t>
      </w:r>
      <w:r>
        <w:rPr>
          <w:i/>
        </w:rPr>
        <w:t>lower</w:t>
      </w:r>
      <w:r>
        <w:t xml:space="preserve"> reaction times, and lower means faster. It is a looser cloud than a textbook example, which is what most real data looks like.</w:t>
      </w:r>
    </w:p>
    <w:p w14:paraId="1B730D26" w14:textId="77777777" w:rsidR="00281AE9" w:rsidRDefault="00000000">
      <w:r>
        <w:t xml:space="preserve">Before testing, check three things in the picture: the trend looks like a </w:t>
      </w:r>
      <w:r>
        <w:rPr>
          <w:b/>
        </w:rPr>
        <w:t>straight line</w:t>
      </w:r>
      <w:r>
        <w:t xml:space="preserve"> rather than a curve, the scatter is </w:t>
      </w:r>
      <w:r>
        <w:rPr>
          <w:b/>
        </w:rPr>
        <w:t>about as wide</w:t>
      </w:r>
      <w:r>
        <w:t xml:space="preserve"> all the way along, and there are no lone points far out on their own. Correlation assumes all three.</w:t>
      </w:r>
    </w:p>
    <w:p w14:paraId="27CC1883" w14:textId="137C3CBF" w:rsidR="00281AE9" w:rsidRDefault="00000000" w:rsidP="00C14AF5">
      <w:pPr>
        <w:pStyle w:val="Heading2"/>
        <w:numPr>
          <w:ilvl w:val="0"/>
          <w:numId w:val="10"/>
        </w:numPr>
      </w:pPr>
      <w:r>
        <w:t>Which test, and why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62"/>
        <w:gridCol w:w="4422"/>
      </w:tblGrid>
      <w:tr w:rsidR="00281AE9" w14:paraId="6C35F364" w14:textId="77777777">
        <w:trPr>
          <w:tblHeader/>
          <w:jc w:val="center"/>
        </w:trPr>
        <w:tc>
          <w:tcPr>
            <w:tcW w:w="4762" w:type="dxa"/>
            <w:shd w:val="clear" w:color="auto" w:fill="E8EFFC"/>
          </w:tcPr>
          <w:p w14:paraId="5BD52BC9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What you want to know</w:t>
            </w:r>
          </w:p>
        </w:tc>
        <w:tc>
          <w:tcPr>
            <w:tcW w:w="4422" w:type="dxa"/>
            <w:shd w:val="clear" w:color="auto" w:fill="E8EFFC"/>
          </w:tcPr>
          <w:p w14:paraId="1BFDA1D4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Use</w:t>
            </w:r>
          </w:p>
        </w:tc>
      </w:tr>
      <w:tr w:rsidR="00281AE9" w14:paraId="7D86B175" w14:textId="77777777">
        <w:trPr>
          <w:jc w:val="center"/>
        </w:trPr>
        <w:tc>
          <w:tcPr>
            <w:tcW w:w="4762" w:type="dxa"/>
          </w:tcPr>
          <w:p w14:paraId="6CC73810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 xml:space="preserve">Do two continuous measurements </w:t>
            </w:r>
            <w:r>
              <w:rPr>
                <w:b/>
                <w:sz w:val="19"/>
              </w:rPr>
              <w:t>move together</w:t>
            </w:r>
            <w:r>
              <w:rPr>
                <w:sz w:val="19"/>
              </w:rPr>
              <w:t>?</w:t>
            </w:r>
          </w:p>
        </w:tc>
        <w:tc>
          <w:tcPr>
            <w:tcW w:w="4422" w:type="dxa"/>
          </w:tcPr>
          <w:p w14:paraId="31BEBDDE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Pearson correlation</w:t>
            </w:r>
            <w:r>
              <w:rPr>
                <w:sz w:val="19"/>
              </w:rPr>
              <w:t xml:space="preserve">  ← us</w:t>
            </w:r>
          </w:p>
        </w:tc>
      </w:tr>
      <w:tr w:rsidR="00281AE9" w14:paraId="140BAD6E" w14:textId="77777777">
        <w:trPr>
          <w:jc w:val="center"/>
        </w:trPr>
        <w:tc>
          <w:tcPr>
            <w:tcW w:w="4762" w:type="dxa"/>
          </w:tcPr>
          <w:p w14:paraId="3352BE1B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The same, but the data are ranks, skewed, or have outliers</w:t>
            </w:r>
          </w:p>
        </w:tc>
        <w:tc>
          <w:tcPr>
            <w:tcW w:w="4422" w:type="dxa"/>
          </w:tcPr>
          <w:p w14:paraId="0853DB2B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Spearman correlation</w:t>
            </w:r>
          </w:p>
        </w:tc>
      </w:tr>
      <w:tr w:rsidR="00281AE9" w14:paraId="562E660B" w14:textId="77777777">
        <w:trPr>
          <w:jc w:val="center"/>
        </w:trPr>
        <w:tc>
          <w:tcPr>
            <w:tcW w:w="4762" w:type="dxa"/>
          </w:tcPr>
          <w:p w14:paraId="1F092044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 xml:space="preserve">Does one variable </w:t>
            </w:r>
            <w:r>
              <w:rPr>
                <w:b/>
                <w:sz w:val="19"/>
              </w:rPr>
              <w:t>predict</w:t>
            </w:r>
            <w:r>
              <w:rPr>
                <w:sz w:val="19"/>
              </w:rPr>
              <w:t xml:space="preserve"> the other, with an equation?</w:t>
            </w:r>
          </w:p>
        </w:tc>
        <w:tc>
          <w:tcPr>
            <w:tcW w:w="4422" w:type="dxa"/>
          </w:tcPr>
          <w:p w14:paraId="3C27993C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Linear regression</w:t>
            </w:r>
          </w:p>
        </w:tc>
      </w:tr>
      <w:tr w:rsidR="00281AE9" w14:paraId="561220F0" w14:textId="77777777">
        <w:trPr>
          <w:jc w:val="center"/>
        </w:trPr>
        <w:tc>
          <w:tcPr>
            <w:tcW w:w="4762" w:type="dxa"/>
          </w:tcPr>
          <w:p w14:paraId="4D0D8644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 xml:space="preserve">Do two </w:t>
            </w:r>
            <w:r>
              <w:rPr>
                <w:b/>
                <w:sz w:val="19"/>
              </w:rPr>
              <w:t>groups</w:t>
            </w:r>
            <w:r>
              <w:rPr>
                <w:sz w:val="19"/>
              </w:rPr>
              <w:t xml:space="preserve"> differ?</w:t>
            </w:r>
          </w:p>
        </w:tc>
        <w:tc>
          <w:tcPr>
            <w:tcW w:w="4422" w:type="dxa"/>
          </w:tcPr>
          <w:p w14:paraId="1AE4C97B" w14:textId="39737ED8" w:rsidR="00281AE9" w:rsidRDefault="00C14AF5">
            <w:pPr>
              <w:spacing w:before="60" w:after="60"/>
            </w:pPr>
            <w:r>
              <w:rPr>
                <w:sz w:val="19"/>
              </w:rPr>
              <w:t>T-test (Guides 1–3)</w:t>
            </w:r>
          </w:p>
        </w:tc>
      </w:tr>
    </w:tbl>
    <w:p w14:paraId="10868C4E" w14:textId="77777777" w:rsidR="00281AE9" w:rsidRDefault="00281AE9">
      <w:pPr>
        <w:spacing w:after="40"/>
      </w:pPr>
    </w:p>
    <w:p w14:paraId="14C13C25" w14:textId="1341E619" w:rsidR="00281AE9" w:rsidRDefault="00000000">
      <w:r>
        <w:t>Pearson</w:t>
      </w:r>
      <w:r w:rsidR="00C14AF5">
        <w:t>’</w:t>
      </w:r>
      <w:r>
        <w:t xml:space="preserve">s r runs from −1 to +1. The sign tells you the direction (does Y go up or down as X goes up), and the size tells you how tightly the points hug a straight line. Zero means no </w:t>
      </w:r>
      <w:r>
        <w:rPr>
          <w:i/>
        </w:rPr>
        <w:t>linear</w:t>
      </w:r>
      <w:r>
        <w:t xml:space="preserve"> relationship — which is not the same as no relationship at all.</w:t>
      </w:r>
    </w:p>
    <w:p w14:paraId="542D0692" w14:textId="622504E7" w:rsidR="00281AE9" w:rsidRDefault="00000000" w:rsidP="00C14AF5">
      <w:pPr>
        <w:pStyle w:val="Heading2"/>
        <w:numPr>
          <w:ilvl w:val="0"/>
          <w:numId w:val="11"/>
        </w:numPr>
      </w:pPr>
      <w:r>
        <w:t>Running the test</w:t>
      </w:r>
    </w:p>
    <w:p w14:paraId="5E61F28B" w14:textId="77777777" w:rsidR="00281AE9" w:rsidRDefault="00000000">
      <w:r>
        <w:rPr>
          <w:rFonts w:ascii="Consolas" w:hAnsi="Consolas"/>
          <w:sz w:val="20"/>
        </w:rPr>
        <w:t>Statistics</w:t>
      </w:r>
      <w:r>
        <w:t xml:space="preserve"> tab → </w:t>
      </w:r>
      <w:r>
        <w:rPr>
          <w:rFonts w:ascii="Consolas" w:hAnsi="Consolas"/>
          <w:sz w:val="20"/>
        </w:rPr>
        <w:t>Correlation</w:t>
      </w:r>
      <w:r>
        <w:t xml:space="preserve"> → </w:t>
      </w:r>
      <w:r>
        <w:rPr>
          <w:rFonts w:ascii="Consolas" w:hAnsi="Consolas"/>
          <w:sz w:val="20"/>
        </w:rPr>
        <w:t>Pearson Correlation</w:t>
      </w:r>
      <w:r>
        <w:t>.</w:t>
      </w:r>
    </w:p>
    <w:p w14:paraId="6EA2A0B9" w14:textId="77777777" w:rsidR="00281AE9" w:rsidRDefault="00000000">
      <w:pPr>
        <w:pStyle w:val="ListNumber"/>
        <w:spacing w:after="60"/>
      </w:pPr>
      <w:r>
        <w:t xml:space="preserve">Leave </w:t>
      </w:r>
      <w:r>
        <w:rPr>
          <w:rFonts w:ascii="Consolas" w:hAnsi="Consolas"/>
          <w:sz w:val="20"/>
        </w:rPr>
        <w:t>Long Format Data</w:t>
      </w:r>
      <w:r>
        <w:t xml:space="preserve"> off — our two measurements are already in their own columns.</w:t>
      </w:r>
    </w:p>
    <w:p w14:paraId="6FFCDE6D" w14:textId="77777777" w:rsidR="00281AE9" w:rsidRDefault="00000000">
      <w:pPr>
        <w:pStyle w:val="ListNumber"/>
        <w:spacing w:after="60"/>
      </w:pPr>
      <w:r>
        <w:rPr>
          <w:rFonts w:ascii="Consolas" w:hAnsi="Consolas"/>
          <w:sz w:val="20"/>
        </w:rPr>
        <w:t>Variable 1 (X)</w:t>
      </w:r>
      <w:r>
        <w:t xml:space="preserve"> → </w:t>
      </w:r>
      <w:r>
        <w:rPr>
          <w:rFonts w:ascii="Consolas" w:hAnsi="Consolas"/>
          <w:sz w:val="20"/>
        </w:rPr>
        <w:t>SpineDensity_per10um</w:t>
      </w:r>
    </w:p>
    <w:p w14:paraId="52EDFA27" w14:textId="77777777" w:rsidR="00281AE9" w:rsidRPr="00C14AF5" w:rsidRDefault="00000000">
      <w:pPr>
        <w:pStyle w:val="ListNumber"/>
        <w:spacing w:after="180"/>
      </w:pPr>
      <w:r>
        <w:rPr>
          <w:rFonts w:ascii="Consolas" w:hAnsi="Consolas"/>
          <w:sz w:val="20"/>
        </w:rPr>
        <w:t>Variable 2 (Y)</w:t>
      </w:r>
      <w:r>
        <w:t xml:space="preserve"> → </w:t>
      </w:r>
      <w:proofErr w:type="spellStart"/>
      <w:r>
        <w:rPr>
          <w:rFonts w:ascii="Consolas" w:hAnsi="Consolas"/>
          <w:sz w:val="20"/>
        </w:rPr>
        <w:t>ReactionTime_ms</w:t>
      </w:r>
      <w:proofErr w:type="spellEnd"/>
    </w:p>
    <w:p w14:paraId="34D681A5" w14:textId="3A39A212" w:rsidR="00C14AF5" w:rsidRDefault="00C14AF5" w:rsidP="00C14AF5">
      <w:pPr>
        <w:pStyle w:val="ListNumber"/>
        <w:numPr>
          <w:ilvl w:val="0"/>
          <w:numId w:val="0"/>
        </w:numPr>
        <w:spacing w:after="180"/>
        <w:ind w:left="360" w:hanging="360"/>
      </w:pPr>
      <w:r w:rsidRPr="00C14AF5">
        <w:rPr>
          <w:noProof/>
        </w:rPr>
        <w:drawing>
          <wp:inline distT="0" distB="0" distL="0" distR="0" wp14:anchorId="500B616F" wp14:editId="63A9B8FA">
            <wp:extent cx="5976620" cy="3449320"/>
            <wp:effectExtent l="0" t="0" r="5080" b="5080"/>
            <wp:docPr id="868059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05953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82A26" w14:textId="77777777" w:rsidR="00281AE9" w:rsidRDefault="00000000">
      <w:pPr>
        <w:spacing w:after="200"/>
      </w:pPr>
      <w:r>
        <w:rPr>
          <w:i/>
          <w:color w:val="5B6471"/>
          <w:sz w:val="18"/>
        </w:rPr>
        <w:t>Figure 2. The completed set-up.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11"/>
      </w:tblGrid>
      <w:tr w:rsidR="00281AE9" w14:paraId="5B65FC11" w14:textId="77777777">
        <w:tc>
          <w:tcPr>
            <w:tcW w:w="9411" w:type="dxa"/>
            <w:tcBorders>
              <w:top w:val="single" w:sz="6" w:space="0" w:color="8FB0E8"/>
              <w:left w:val="single" w:sz="6" w:space="0" w:color="8FB0E8"/>
              <w:bottom w:val="single" w:sz="6" w:space="0" w:color="8FB0E8"/>
              <w:right w:val="single" w:sz="6" w:space="0" w:color="8FB0E8"/>
            </w:tcBorders>
            <w:shd w:val="clear" w:color="auto" w:fill="E8EFFC"/>
          </w:tcPr>
          <w:p w14:paraId="68C5B537" w14:textId="77777777" w:rsidR="00281AE9" w:rsidRDefault="00000000">
            <w:pPr>
              <w:spacing w:before="80" w:after="40"/>
            </w:pPr>
            <w:r>
              <w:rPr>
                <w:b/>
                <w:sz w:val="20"/>
              </w:rPr>
              <w:lastRenderedPageBreak/>
              <w:t>X and Y do not mean cause and effect</w:t>
            </w:r>
          </w:p>
          <w:p w14:paraId="03C5EEC7" w14:textId="77777777" w:rsidR="00281AE9" w:rsidRDefault="00000000">
            <w:pPr>
              <w:spacing w:after="120"/>
            </w:pPr>
            <w:r>
              <w:rPr>
                <w:sz w:val="20"/>
              </w:rPr>
              <w:t>Correlation is symmetrical: swap the two variables and you get exactly the same r and the same p. The labels are only about which axis you would draw them on.</w:t>
            </w:r>
          </w:p>
        </w:tc>
      </w:tr>
    </w:tbl>
    <w:p w14:paraId="728405B8" w14:textId="77777777" w:rsidR="00281AE9" w:rsidRDefault="00281AE9">
      <w:pPr>
        <w:spacing w:after="40"/>
      </w:pPr>
    </w:p>
    <w:p w14:paraId="4DDC531D" w14:textId="77777777" w:rsidR="00281AE9" w:rsidRDefault="00000000">
      <w:pPr>
        <w:pStyle w:val="Heading2"/>
      </w:pPr>
      <w:r>
        <w:t>5.  The result</w:t>
      </w:r>
    </w:p>
    <w:p w14:paraId="3E5D11AF" w14:textId="1213F5CD" w:rsidR="00C14AF5" w:rsidRDefault="00C14AF5">
      <w:pPr>
        <w:spacing w:after="200"/>
        <w:rPr>
          <w:i/>
          <w:color w:val="5B6471"/>
          <w:sz w:val="18"/>
        </w:rPr>
      </w:pPr>
      <w:r w:rsidRPr="00C14AF5">
        <w:rPr>
          <w:i/>
          <w:noProof/>
          <w:color w:val="5B6471"/>
          <w:sz w:val="18"/>
        </w:rPr>
        <w:drawing>
          <wp:inline distT="0" distB="0" distL="0" distR="0" wp14:anchorId="22C9738B" wp14:editId="212945BD">
            <wp:extent cx="5976620" cy="4326890"/>
            <wp:effectExtent l="0" t="0" r="5080" b="3810"/>
            <wp:docPr id="265797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7972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0FF4E" w14:textId="3B5B7324" w:rsidR="00281AE9" w:rsidRDefault="00000000">
      <w:pPr>
        <w:spacing w:after="200"/>
      </w:pPr>
      <w:r>
        <w:rPr>
          <w:i/>
          <w:color w:val="5B6471"/>
          <w:sz w:val="18"/>
        </w:rPr>
        <w:t>Figure 3. The output.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5443"/>
        <w:gridCol w:w="2268"/>
      </w:tblGrid>
      <w:tr w:rsidR="00281AE9" w14:paraId="5F489E96" w14:textId="77777777">
        <w:trPr>
          <w:tblHeader/>
          <w:jc w:val="center"/>
        </w:trPr>
        <w:tc>
          <w:tcPr>
            <w:tcW w:w="1474" w:type="dxa"/>
            <w:shd w:val="clear" w:color="auto" w:fill="E8EFFC"/>
          </w:tcPr>
          <w:p w14:paraId="745F2AA0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Line</w:t>
            </w:r>
          </w:p>
        </w:tc>
        <w:tc>
          <w:tcPr>
            <w:tcW w:w="5443" w:type="dxa"/>
            <w:shd w:val="clear" w:color="auto" w:fill="E8EFFC"/>
          </w:tcPr>
          <w:p w14:paraId="01F32D6C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What it means</w:t>
            </w:r>
          </w:p>
        </w:tc>
        <w:tc>
          <w:tcPr>
            <w:tcW w:w="2268" w:type="dxa"/>
            <w:shd w:val="clear" w:color="auto" w:fill="E8EFFC"/>
          </w:tcPr>
          <w:p w14:paraId="69222DEC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Ours</w:t>
            </w:r>
          </w:p>
        </w:tc>
      </w:tr>
      <w:tr w:rsidR="00281AE9" w14:paraId="0CA1DBD6" w14:textId="77777777">
        <w:trPr>
          <w:jc w:val="center"/>
        </w:trPr>
        <w:tc>
          <w:tcPr>
            <w:tcW w:w="1474" w:type="dxa"/>
          </w:tcPr>
          <w:p w14:paraId="7FF8C7E4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r</w:t>
            </w:r>
          </w:p>
        </w:tc>
        <w:tc>
          <w:tcPr>
            <w:tcW w:w="5443" w:type="dxa"/>
          </w:tcPr>
          <w:p w14:paraId="06196926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The correlation, from −1 to +1. The minus sign is the direction, not the strength.</w:t>
            </w:r>
          </w:p>
        </w:tc>
        <w:tc>
          <w:tcPr>
            <w:tcW w:w="2268" w:type="dxa"/>
          </w:tcPr>
          <w:p w14:paraId="17E378E6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−0.352</w:t>
            </w:r>
          </w:p>
        </w:tc>
      </w:tr>
      <w:tr w:rsidR="00281AE9" w14:paraId="3CD33771" w14:textId="77777777">
        <w:trPr>
          <w:jc w:val="center"/>
        </w:trPr>
        <w:tc>
          <w:tcPr>
            <w:tcW w:w="1474" w:type="dxa"/>
          </w:tcPr>
          <w:p w14:paraId="387B50C6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INTERPRETATION</w:t>
            </w:r>
          </w:p>
        </w:tc>
        <w:tc>
          <w:tcPr>
            <w:tcW w:w="5443" w:type="dxa"/>
          </w:tcPr>
          <w:p w14:paraId="6DD67FF6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Plotara labels the strength for you: under 0.2 very weak, 0.4 weak, 0.6 moderate, 0.8 strong, above that very strong.</w:t>
            </w:r>
          </w:p>
        </w:tc>
        <w:tc>
          <w:tcPr>
            <w:tcW w:w="2268" w:type="dxa"/>
          </w:tcPr>
          <w:p w14:paraId="58F7FDDF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“weak negative”</w:t>
            </w:r>
          </w:p>
        </w:tc>
      </w:tr>
      <w:tr w:rsidR="00281AE9" w14:paraId="28DB22E8" w14:textId="77777777">
        <w:trPr>
          <w:jc w:val="center"/>
        </w:trPr>
        <w:tc>
          <w:tcPr>
            <w:tcW w:w="1474" w:type="dxa"/>
          </w:tcPr>
          <w:p w14:paraId="0E02C551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P-Value</w:t>
            </w:r>
          </w:p>
        </w:tc>
        <w:tc>
          <w:tcPr>
            <w:tcW w:w="5443" w:type="dxa"/>
          </w:tcPr>
          <w:p w14:paraId="1B58710C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How often 180 unrelated measurements would line up this well by chance.</w:t>
            </w:r>
          </w:p>
        </w:tc>
        <w:tc>
          <w:tcPr>
            <w:tcW w:w="2268" w:type="dxa"/>
          </w:tcPr>
          <w:p w14:paraId="2AF58AD0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p &lt; 0.001</w:t>
            </w:r>
          </w:p>
        </w:tc>
      </w:tr>
      <w:tr w:rsidR="00281AE9" w14:paraId="62CA5084" w14:textId="77777777">
        <w:trPr>
          <w:jc w:val="center"/>
        </w:trPr>
        <w:tc>
          <w:tcPr>
            <w:tcW w:w="1474" w:type="dxa"/>
          </w:tcPr>
          <w:p w14:paraId="79D6F3D9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95% CI</w:t>
            </w:r>
          </w:p>
        </w:tc>
        <w:tc>
          <w:tcPr>
            <w:tcW w:w="5443" w:type="dxa"/>
          </w:tcPr>
          <w:p w14:paraId="4655B64E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The plausible range for the true correlation. It stays the wrong side of 0 throughout.</w:t>
            </w:r>
          </w:p>
        </w:tc>
        <w:tc>
          <w:tcPr>
            <w:tcW w:w="2268" w:type="dxa"/>
          </w:tcPr>
          <w:p w14:paraId="613FAC85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[−0.47, −0.22]</w:t>
            </w:r>
          </w:p>
        </w:tc>
      </w:tr>
      <w:tr w:rsidR="00281AE9" w14:paraId="478CDB50" w14:textId="77777777">
        <w:trPr>
          <w:jc w:val="center"/>
        </w:trPr>
        <w:tc>
          <w:tcPr>
            <w:tcW w:w="1474" w:type="dxa"/>
          </w:tcPr>
          <w:p w14:paraId="067FCEDE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R²</w:t>
            </w:r>
          </w:p>
        </w:tc>
        <w:tc>
          <w:tcPr>
            <w:tcW w:w="5443" w:type="dxa"/>
          </w:tcPr>
          <w:p w14:paraId="702FD83D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r squared — the share of the variation in one that the other accounts for.</w:t>
            </w:r>
          </w:p>
        </w:tc>
        <w:tc>
          <w:tcPr>
            <w:tcW w:w="2268" w:type="dxa"/>
          </w:tcPr>
          <w:p w14:paraId="768781D6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0.12, i.e. 12%</w:t>
            </w:r>
          </w:p>
        </w:tc>
      </w:tr>
      <w:tr w:rsidR="00281AE9" w14:paraId="0076BCCD" w14:textId="77777777">
        <w:trPr>
          <w:jc w:val="center"/>
        </w:trPr>
        <w:tc>
          <w:tcPr>
            <w:tcW w:w="1474" w:type="dxa"/>
          </w:tcPr>
          <w:p w14:paraId="01C66D8C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N</w:t>
            </w:r>
          </w:p>
        </w:tc>
        <w:tc>
          <w:tcPr>
            <w:tcW w:w="5443" w:type="dxa"/>
          </w:tcPr>
          <w:p w14:paraId="34655366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How many complete pairs were used.</w:t>
            </w:r>
          </w:p>
        </w:tc>
        <w:tc>
          <w:tcPr>
            <w:tcW w:w="2268" w:type="dxa"/>
          </w:tcPr>
          <w:p w14:paraId="2E3D4B19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180</w:t>
            </w:r>
          </w:p>
        </w:tc>
      </w:tr>
    </w:tbl>
    <w:p w14:paraId="6635B938" w14:textId="77777777" w:rsidR="00281AE9" w:rsidRDefault="00281AE9">
      <w:pPr>
        <w:spacing w:after="40"/>
      </w:pPr>
    </w:p>
    <w:p w14:paraId="360F94C1" w14:textId="77777777" w:rsidR="00281AE9" w:rsidRDefault="00000000">
      <w:pPr>
        <w:pStyle w:val="Heading3"/>
      </w:pPr>
      <w:r>
        <w:lastRenderedPageBreak/>
        <w:t>Writing it up</w:t>
      </w:r>
    </w:p>
    <w:p w14:paraId="0ECA7547" w14:textId="77777777" w:rsidR="00281AE9" w:rsidRDefault="00000000">
      <w:r>
        <w:t>“Spine density was negatively correlated with reaction time, r(178) = −.35, p &lt; .001, 95% CI [−.47, −.22].”</w:t>
      </w:r>
    </w:p>
    <w:p w14:paraId="0801CB03" w14:textId="77777777" w:rsidR="00281AE9" w:rsidRDefault="00000000">
      <w:r>
        <w:rPr>
          <w:color w:val="5B6471"/>
          <w:sz w:val="20"/>
        </w:rPr>
        <w:t xml:space="preserve">The number in brackets after r is </w:t>
      </w:r>
      <w:r>
        <w:rPr>
          <w:b/>
          <w:color w:val="5B6471"/>
          <w:sz w:val="20"/>
        </w:rPr>
        <w:t>N − 2</w:t>
      </w:r>
      <w:r>
        <w:rPr>
          <w:color w:val="5B6471"/>
          <w:sz w:val="20"/>
        </w:rPr>
        <w:t>, not N. Report r to two decimal places and drop the leading zero, as APA style requires.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11"/>
      </w:tblGrid>
      <w:tr w:rsidR="00281AE9" w14:paraId="17187651" w14:textId="77777777">
        <w:tc>
          <w:tcPr>
            <w:tcW w:w="9411" w:type="dxa"/>
            <w:tcBorders>
              <w:top w:val="single" w:sz="6" w:space="0" w:color="8FB0E8"/>
              <w:left w:val="single" w:sz="6" w:space="0" w:color="8FB0E8"/>
              <w:bottom w:val="single" w:sz="6" w:space="0" w:color="8FB0E8"/>
              <w:right w:val="single" w:sz="6" w:space="0" w:color="8FB0E8"/>
            </w:tcBorders>
            <w:shd w:val="clear" w:color="auto" w:fill="E8EFFC"/>
          </w:tcPr>
          <w:p w14:paraId="47D5D7A1" w14:textId="77777777" w:rsidR="00281AE9" w:rsidRDefault="00000000">
            <w:pPr>
              <w:spacing w:before="80" w:after="40"/>
            </w:pPr>
            <w:r>
              <w:rPr>
                <w:b/>
                <w:sz w:val="20"/>
              </w:rPr>
              <w:t>Significant does not mean strong</w:t>
            </w:r>
          </w:p>
          <w:p w14:paraId="71BE1566" w14:textId="77777777" w:rsidR="00281AE9" w:rsidRDefault="00000000">
            <w:pPr>
              <w:spacing w:after="60"/>
            </w:pPr>
            <w:r>
              <w:rPr>
                <w:sz w:val="20"/>
              </w:rPr>
              <w:t xml:space="preserve">Read the two lines together and they sound contradictory: p &lt; .001 says the relationship is about as certain as they come, while Plotara calls it </w:t>
            </w:r>
            <w:r>
              <w:rPr>
                <w:b/>
                <w:sz w:val="20"/>
              </w:rPr>
              <w:t>weak</w:t>
            </w:r>
            <w:r>
              <w:rPr>
                <w:sz w:val="20"/>
              </w:rPr>
              <w:t xml:space="preserve"> and R² says spine density accounts for only </w:t>
            </w:r>
            <w:r>
              <w:rPr>
                <w:b/>
                <w:sz w:val="20"/>
              </w:rPr>
              <w:t>12%</w:t>
            </w:r>
            <w:r>
              <w:rPr>
                <w:sz w:val="20"/>
              </w:rPr>
              <w:t xml:space="preserve"> of the variation in reaction time.</w:t>
            </w:r>
          </w:p>
          <w:p w14:paraId="2447E90F" w14:textId="77777777" w:rsidR="00281AE9" w:rsidRDefault="00000000">
            <w:pPr>
              <w:spacing w:after="60"/>
            </w:pPr>
            <w:r>
              <w:rPr>
                <w:sz w:val="20"/>
              </w:rPr>
              <w:t xml:space="preserve">Both are right. With 180 neurons even a small relationship is easy to detect. </w:t>
            </w:r>
            <w:r>
              <w:rPr>
                <w:b/>
                <w:sz w:val="20"/>
              </w:rPr>
              <w:t>The p-value tells you the relationship is real; r and R² tell you whether it matters.</w:t>
            </w:r>
            <w:r>
              <w:rPr>
                <w:sz w:val="20"/>
              </w:rPr>
              <w:t xml:space="preserve"> Always report both.</w:t>
            </w:r>
          </w:p>
          <w:p w14:paraId="75C4B9CA" w14:textId="77777777" w:rsidR="00281AE9" w:rsidRDefault="00000000">
            <w:pPr>
              <w:spacing w:after="120"/>
            </w:pPr>
            <w:r>
              <w:rPr>
                <w:sz w:val="20"/>
              </w:rPr>
              <w:t>One caution on the labels: Plotara's bands are not the only ones in use. Cohen's convention calls ±0.1 small, ±0.3 medium and ±0.5 large, which would make ours medium rather than weak. Quote the number, not just the word, and nobody can be misled.</w:t>
            </w:r>
          </w:p>
        </w:tc>
      </w:tr>
    </w:tbl>
    <w:p w14:paraId="207FC58A" w14:textId="77777777" w:rsidR="00281AE9" w:rsidRDefault="00281AE9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11"/>
      </w:tblGrid>
      <w:tr w:rsidR="00281AE9" w14:paraId="0892C921" w14:textId="77777777">
        <w:tc>
          <w:tcPr>
            <w:tcW w:w="9411" w:type="dxa"/>
            <w:tcBorders>
              <w:top w:val="single" w:sz="6" w:space="0" w:color="E8A33D"/>
              <w:left w:val="single" w:sz="6" w:space="0" w:color="E8A33D"/>
              <w:bottom w:val="single" w:sz="6" w:space="0" w:color="E8A33D"/>
              <w:right w:val="single" w:sz="6" w:space="0" w:color="E8A33D"/>
            </w:tcBorders>
            <w:shd w:val="clear" w:color="auto" w:fill="FDF3E3"/>
          </w:tcPr>
          <w:p w14:paraId="60C9F6E1" w14:textId="77777777" w:rsidR="00281AE9" w:rsidRDefault="00000000">
            <w:pPr>
              <w:spacing w:before="80" w:after="40"/>
            </w:pPr>
            <w:r>
              <w:rPr>
                <w:b/>
                <w:sz w:val="20"/>
              </w:rPr>
              <w:t>The sentence you must not write</w:t>
            </w:r>
          </w:p>
          <w:p w14:paraId="3F10F4F9" w14:textId="77777777" w:rsidR="00281AE9" w:rsidRDefault="00000000">
            <w:pPr>
              <w:spacing w:after="120"/>
            </w:pPr>
            <w:r>
              <w:rPr>
                <w:i/>
                <w:sz w:val="20"/>
              </w:rPr>
              <w:t>More spines make mice respond faster.</w:t>
            </w:r>
            <w:r>
              <w:rPr>
                <w:sz w:val="20"/>
              </w:rPr>
              <w:t xml:space="preserve"> Nothing here was manipulated: mice with more spines may differ in a dozen other ways, and being a faster responder could as easily drive spine growth as the other way round. Correlation earns you the word </w:t>
            </w:r>
            <w:r>
              <w:rPr>
                <w:b/>
                <w:sz w:val="20"/>
              </w:rPr>
              <w:t>associated</w:t>
            </w:r>
            <w:r>
              <w:rPr>
                <w:sz w:val="20"/>
              </w:rPr>
              <w:t xml:space="preserve">, never </w:t>
            </w:r>
            <w:r>
              <w:rPr>
                <w:b/>
                <w:sz w:val="20"/>
              </w:rPr>
              <w:t>caused</w:t>
            </w:r>
            <w:r>
              <w:rPr>
                <w:sz w:val="20"/>
              </w:rPr>
              <w:t>.</w:t>
            </w:r>
          </w:p>
        </w:tc>
      </w:tr>
    </w:tbl>
    <w:p w14:paraId="023AB435" w14:textId="77777777" w:rsidR="00281AE9" w:rsidRDefault="00281AE9">
      <w:pPr>
        <w:spacing w:after="40"/>
      </w:pPr>
    </w:p>
    <w:p w14:paraId="21201818" w14:textId="77777777" w:rsidR="00281AE9" w:rsidRDefault="00000000">
      <w:pPr>
        <w:pStyle w:val="Heading2"/>
      </w:pPr>
      <w:r>
        <w:t>6.  When Pearson is the wrong choice</w:t>
      </w:r>
    </w:p>
    <w:p w14:paraId="67490518" w14:textId="77777777" w:rsidR="00281AE9" w:rsidRDefault="00000000">
      <w:r>
        <w:t xml:space="preserve">Pearson's r assumes a straight-line relationship and is easily dragged around by outliers. When the scatter plot shows a curve, or the data are ordinal (rankings, Likert items), or one stray point is doing all the work, use </w:t>
      </w:r>
      <w:r>
        <w:rPr>
          <w:b/>
        </w:rPr>
        <w:t>Spearman</w:t>
      </w:r>
      <w:r>
        <w:t xml:space="preserve"> instead: </w:t>
      </w:r>
      <w:r>
        <w:rPr>
          <w:rFonts w:ascii="Consolas" w:hAnsi="Consolas"/>
          <w:sz w:val="20"/>
        </w:rPr>
        <w:t>Correlation</w:t>
      </w:r>
      <w:r>
        <w:t xml:space="preserve"> → </w:t>
      </w:r>
      <w:r>
        <w:rPr>
          <w:rFonts w:ascii="Consolas" w:hAnsi="Consolas"/>
          <w:sz w:val="20"/>
        </w:rPr>
        <w:t>Spearman Correlation</w:t>
      </w:r>
      <w:r>
        <w:t>, with the same two variables.</w:t>
      </w:r>
    </w:p>
    <w:p w14:paraId="77555949" w14:textId="77777777" w:rsidR="00281AE9" w:rsidRDefault="00000000">
      <w:r>
        <w:t xml:space="preserve">Spearman ranks the values first and correlates the ranks, so it measures whether the relationship is consistently </w:t>
      </w:r>
      <w:r>
        <w:rPr>
          <w:i/>
        </w:rPr>
        <w:t>decreasing</w:t>
      </w:r>
      <w:r>
        <w:t xml:space="preserve">, not whether it is straight. That matters here: a normality check on </w:t>
      </w:r>
      <w:r>
        <w:rPr>
          <w:rFonts w:ascii="Consolas" w:hAnsi="Consolas"/>
          <w:sz w:val="20"/>
        </w:rPr>
        <w:t>SpineDensity_per10um</w:t>
      </w:r>
      <w:r>
        <w:t xml:space="preserve"> comes out slightly significant (Shapiro-Wilk p = 0.016), so it is worth seeing whether the shape of the data is bending the answer.</w:t>
      </w:r>
    </w:p>
    <w:p w14:paraId="204F311E" w14:textId="77777777" w:rsidR="00281AE9" w:rsidRDefault="00000000">
      <w:r>
        <w:t xml:space="preserve">It is not. Spearman gives ρ = −0.33 against Pearson's −0.35 — close enough that the conclusion is unchanged. </w:t>
      </w:r>
      <w:r>
        <w:rPr>
          <w:b/>
        </w:rPr>
        <w:t>When the two agree, report Pearson and move on.</w:t>
      </w:r>
      <w:r>
        <w:t xml:space="preserve"> When they disagree sharply, that is your signal that an outlier or a curve is driving the Pearson result.</w:t>
      </w:r>
    </w:p>
    <w:p w14:paraId="191C1F72" w14:textId="77777777" w:rsidR="00281AE9" w:rsidRDefault="00000000">
      <w:r>
        <w:rPr>
          <w:color w:val="5B6471"/>
          <w:sz w:val="20"/>
        </w:rPr>
        <w:t>Guide 4 shows how to check normality formally. For correlation, the scatter plot is usually the more informative check.</w:t>
      </w:r>
    </w:p>
    <w:p w14:paraId="66EF2031" w14:textId="77777777" w:rsidR="00281AE9" w:rsidRDefault="00000000">
      <w:pPr>
        <w:pStyle w:val="Heading2"/>
      </w:pPr>
      <w:r>
        <w:t>7.  Now try it yourself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55"/>
        <w:gridCol w:w="5329"/>
      </w:tblGrid>
      <w:tr w:rsidR="00281AE9" w14:paraId="14D77E02" w14:textId="77777777">
        <w:trPr>
          <w:tblHeader/>
          <w:jc w:val="center"/>
        </w:trPr>
        <w:tc>
          <w:tcPr>
            <w:tcW w:w="3855" w:type="dxa"/>
            <w:shd w:val="clear" w:color="auto" w:fill="E8EFFC"/>
          </w:tcPr>
          <w:p w14:paraId="7EB2F873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Variable 1</w:t>
            </w:r>
            <w:r>
              <w:rPr>
                <w:b/>
                <w:sz w:val="19"/>
              </w:rPr>
              <w:t xml:space="preserve"> vs </w:t>
            </w:r>
            <w:r>
              <w:rPr>
                <w:rFonts w:ascii="Consolas" w:hAnsi="Consolas"/>
                <w:b/>
                <w:sz w:val="17"/>
              </w:rPr>
              <w:t>Variable 2</w:t>
            </w:r>
          </w:p>
        </w:tc>
        <w:tc>
          <w:tcPr>
            <w:tcW w:w="5329" w:type="dxa"/>
            <w:shd w:val="clear" w:color="auto" w:fill="E8EFFC"/>
          </w:tcPr>
          <w:p w14:paraId="32F24F43" w14:textId="77777777" w:rsidR="00281AE9" w:rsidRDefault="00000000">
            <w:pPr>
              <w:spacing w:before="60" w:after="60"/>
            </w:pPr>
            <w:r>
              <w:rPr>
                <w:b/>
                <w:sz w:val="19"/>
              </w:rPr>
              <w:t>The question you are asking</w:t>
            </w:r>
          </w:p>
        </w:tc>
      </w:tr>
      <w:tr w:rsidR="00281AE9" w14:paraId="1B3FDB5F" w14:textId="77777777">
        <w:trPr>
          <w:jc w:val="center"/>
        </w:trPr>
        <w:tc>
          <w:tcPr>
            <w:tcW w:w="3855" w:type="dxa"/>
          </w:tcPr>
          <w:p w14:paraId="2A09BCD7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SpineDensity_per10um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MemoryScore_pct</w:t>
            </w:r>
          </w:p>
        </w:tc>
        <w:tc>
          <w:tcPr>
            <w:tcW w:w="5329" w:type="dxa"/>
          </w:tcPr>
          <w:p w14:paraId="529E3ABA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The strongest relationship in this dataset — compare its R² with ours.</w:t>
            </w:r>
          </w:p>
        </w:tc>
      </w:tr>
      <w:tr w:rsidR="00281AE9" w14:paraId="075FF7D8" w14:textId="77777777">
        <w:trPr>
          <w:jc w:val="center"/>
        </w:trPr>
        <w:tc>
          <w:tcPr>
            <w:tcW w:w="3855" w:type="dxa"/>
          </w:tcPr>
          <w:p w14:paraId="7BCF9144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MemoryScore_pct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ReactionTime_ms</w:t>
            </w:r>
          </w:p>
        </w:tc>
        <w:tc>
          <w:tcPr>
            <w:tcW w:w="5329" w:type="dxa"/>
          </w:tcPr>
          <w:p w14:paraId="6504E206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Do the mice that respond faster also remember more?</w:t>
            </w:r>
          </w:p>
        </w:tc>
      </w:tr>
      <w:tr w:rsidR="00281AE9" w14:paraId="6C241665" w14:textId="77777777">
        <w:trPr>
          <w:jc w:val="center"/>
        </w:trPr>
        <w:tc>
          <w:tcPr>
            <w:tcW w:w="3855" w:type="dxa"/>
          </w:tcPr>
          <w:p w14:paraId="07B3D005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DendriticLength_um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ReactionTime_ms</w:t>
            </w:r>
          </w:p>
        </w:tc>
        <w:tc>
          <w:tcPr>
            <w:tcW w:w="5329" w:type="dxa"/>
          </w:tcPr>
          <w:p w14:paraId="18400C49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Does neuron size relate to behaviour too?</w:t>
            </w:r>
          </w:p>
        </w:tc>
      </w:tr>
      <w:tr w:rsidR="00281AE9" w14:paraId="60320014" w14:textId="77777777">
        <w:trPr>
          <w:jc w:val="center"/>
        </w:trPr>
        <w:tc>
          <w:tcPr>
            <w:tcW w:w="3855" w:type="dxa"/>
          </w:tcPr>
          <w:p w14:paraId="3F7C24A4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SpikeWidth_ms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ReactionTime_ms</w:t>
            </w:r>
          </w:p>
        </w:tc>
        <w:tc>
          <w:tcPr>
            <w:tcW w:w="5329" w:type="dxa"/>
          </w:tcPr>
          <w:p w14:paraId="18967C7A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Is every pair of measurements related?</w:t>
            </w:r>
          </w:p>
        </w:tc>
      </w:tr>
      <w:tr w:rsidR="00281AE9" w14:paraId="76AE7DB2" w14:textId="77777777">
        <w:trPr>
          <w:jc w:val="center"/>
        </w:trPr>
        <w:tc>
          <w:tcPr>
            <w:tcW w:w="3855" w:type="dxa"/>
          </w:tcPr>
          <w:p w14:paraId="7939DC19" w14:textId="77777777" w:rsidR="00281AE9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lastRenderedPageBreak/>
              <w:t>Age_weeks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ReactionTime_ms</w:t>
            </w:r>
          </w:p>
        </w:tc>
        <w:tc>
          <w:tcPr>
            <w:tcW w:w="5329" w:type="dxa"/>
          </w:tcPr>
          <w:p w14:paraId="3BBDAD4F" w14:textId="77777777" w:rsidR="00281AE9" w:rsidRDefault="00000000">
            <w:pPr>
              <w:spacing w:before="60" w:after="60"/>
            </w:pPr>
            <w:r>
              <w:rPr>
                <w:sz w:val="19"/>
              </w:rPr>
              <w:t>Does age explain reaction time in this sample?</w:t>
            </w:r>
          </w:p>
        </w:tc>
      </w:tr>
    </w:tbl>
    <w:p w14:paraId="1F19193E" w14:textId="77777777" w:rsidR="00281AE9" w:rsidRDefault="00281AE9">
      <w:pPr>
        <w:spacing w:after="40"/>
      </w:pPr>
    </w:p>
    <w:p w14:paraId="20EA1181" w14:textId="77777777" w:rsidR="00281AE9" w:rsidRDefault="00000000">
      <w:r>
        <w:t>Three things to notice:</w:t>
      </w:r>
    </w:p>
    <w:p w14:paraId="4EAE3B42" w14:textId="77777777" w:rsidR="00281AE9" w:rsidRDefault="00000000">
      <w:pPr>
        <w:pStyle w:val="ListBullet"/>
        <w:spacing w:after="60"/>
      </w:pPr>
      <w:r>
        <w:rPr>
          <w:b/>
        </w:rPr>
        <w:t>A negative r is not a weak r.</w:t>
      </w:r>
      <w:r>
        <w:t xml:space="preserve"> −0.47 is exactly as strong as +0.47; it just means the two move in opposite directions.</w:t>
      </w:r>
    </w:p>
    <w:p w14:paraId="0D243210" w14:textId="77777777" w:rsidR="00281AE9" w:rsidRDefault="00000000">
      <w:pPr>
        <w:pStyle w:val="ListBullet"/>
        <w:spacing w:after="60"/>
      </w:pPr>
      <w:r>
        <w:rPr>
          <w:b/>
        </w:rPr>
        <w:t>Two of these are not significant.</w:t>
      </w:r>
      <w:r>
        <w:t xml:space="preserve"> Absence of a correlation is a real finding, and worth reporting.</w:t>
      </w:r>
    </w:p>
    <w:p w14:paraId="40A1568C" w14:textId="77777777" w:rsidR="00281AE9" w:rsidRDefault="00000000">
      <w:pPr>
        <w:pStyle w:val="ListBullet"/>
        <w:spacing w:after="180"/>
      </w:pPr>
      <w:r>
        <w:rPr>
          <w:b/>
        </w:rPr>
        <w:t>You have now run five tests on one dataset.</w:t>
      </w:r>
      <w:r>
        <w:t xml:space="preserve"> That is a problem in itself — and it is what Guide 10 is about.</w:t>
      </w:r>
    </w:p>
    <w:sectPr w:rsidR="00281AE9" w:rsidSect="00034616">
      <w:footerReference w:type="default" r:id="rId11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23700B" w14:textId="77777777" w:rsidR="001A6D04" w:rsidRDefault="001A6D04">
      <w:pPr>
        <w:spacing w:after="0" w:line="240" w:lineRule="auto"/>
      </w:pPr>
      <w:r>
        <w:separator/>
      </w:r>
    </w:p>
  </w:endnote>
  <w:endnote w:type="continuationSeparator" w:id="0">
    <w:p w14:paraId="608B2B59" w14:textId="77777777" w:rsidR="001A6D04" w:rsidRDefault="001A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83CEC" w14:textId="77777777" w:rsidR="00281AE9" w:rsidRDefault="00000000">
    <w:pPr>
      <w:pStyle w:val="Footer"/>
      <w:jc w:val="center"/>
    </w:pPr>
    <w:r>
      <w:rPr>
        <w:color w:val="5B6471"/>
        <w:sz w:val="16"/>
      </w:rPr>
      <w:t xml:space="preserve">Plotara teaching </w:t>
    </w:r>
    <w:proofErr w:type="gramStart"/>
    <w:r>
      <w:rPr>
        <w:color w:val="5B6471"/>
        <w:sz w:val="16"/>
      </w:rPr>
      <w:t>series  |</w:t>
    </w:r>
    <w:proofErr w:type="gramEnd"/>
    <w:r>
      <w:rPr>
        <w:color w:val="5B6471"/>
        <w:sz w:val="16"/>
      </w:rPr>
      <w:t xml:space="preserve">  Correlation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DDF033" w14:textId="77777777" w:rsidR="001A6D04" w:rsidRDefault="001A6D04">
      <w:pPr>
        <w:spacing w:after="0" w:line="240" w:lineRule="auto"/>
      </w:pPr>
      <w:r>
        <w:separator/>
      </w:r>
    </w:p>
  </w:footnote>
  <w:footnote w:type="continuationSeparator" w:id="0">
    <w:p w14:paraId="56D8ACB6" w14:textId="77777777" w:rsidR="001A6D04" w:rsidRDefault="001A6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E9418D"/>
    <w:multiLevelType w:val="hybridMultilevel"/>
    <w:tmpl w:val="F174AB1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C72B8"/>
    <w:multiLevelType w:val="hybridMultilevel"/>
    <w:tmpl w:val="69B230F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773217">
    <w:abstractNumId w:val="8"/>
  </w:num>
  <w:num w:numId="2" w16cid:durableId="1441029793">
    <w:abstractNumId w:val="6"/>
  </w:num>
  <w:num w:numId="3" w16cid:durableId="1354957938">
    <w:abstractNumId w:val="5"/>
  </w:num>
  <w:num w:numId="4" w16cid:durableId="975333786">
    <w:abstractNumId w:val="4"/>
  </w:num>
  <w:num w:numId="5" w16cid:durableId="1522626591">
    <w:abstractNumId w:val="7"/>
  </w:num>
  <w:num w:numId="6" w16cid:durableId="1023241584">
    <w:abstractNumId w:val="3"/>
  </w:num>
  <w:num w:numId="7" w16cid:durableId="698966222">
    <w:abstractNumId w:val="2"/>
  </w:num>
  <w:num w:numId="8" w16cid:durableId="1515609026">
    <w:abstractNumId w:val="1"/>
  </w:num>
  <w:num w:numId="9" w16cid:durableId="186257052">
    <w:abstractNumId w:val="0"/>
  </w:num>
  <w:num w:numId="10" w16cid:durableId="324162364">
    <w:abstractNumId w:val="9"/>
  </w:num>
  <w:num w:numId="11" w16cid:durableId="142456702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223E"/>
    <w:rsid w:val="0015074B"/>
    <w:rsid w:val="001A6D04"/>
    <w:rsid w:val="00281AE9"/>
    <w:rsid w:val="0029639D"/>
    <w:rsid w:val="00326F90"/>
    <w:rsid w:val="00723232"/>
    <w:rsid w:val="008027EB"/>
    <w:rsid w:val="00AA1D8D"/>
    <w:rsid w:val="00B47730"/>
    <w:rsid w:val="00C14AF5"/>
    <w:rsid w:val="00C8540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AD3CEF"/>
  <w14:defaultImageDpi w14:val="300"/>
  <w15:docId w15:val="{6228B060-AC31-D547-B420-02E1C84C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1F242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/>
      <w:outlineLvl w:val="0"/>
    </w:pPr>
    <w:rPr>
      <w:rFonts w:asciiTheme="majorHAnsi" w:eastAsiaTheme="majorEastAsia" w:hAnsiTheme="majorHAnsi" w:cstheme="majorBidi"/>
      <w:b/>
      <w:bCs/>
      <w:color w:val="3B6FD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/>
      <w:b/>
      <w:bCs/>
      <w:color w:val="3B6FD4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Jane Jones</cp:lastModifiedBy>
  <cp:revision>3</cp:revision>
  <dcterms:created xsi:type="dcterms:W3CDTF">2013-12-23T23:15:00Z</dcterms:created>
  <dcterms:modified xsi:type="dcterms:W3CDTF">2026-07-31T11:21:00Z</dcterms:modified>
  <cp:category/>
</cp:coreProperties>
</file>