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CE5F59" w14:textId="77777777" w:rsidR="00C931F4" w:rsidRDefault="00000000">
      <w:pPr>
        <w:spacing w:after="40"/>
      </w:pPr>
      <w:r>
        <w:rPr>
          <w:b/>
          <w:color w:val="3B6FD4"/>
          <w:sz w:val="19"/>
        </w:rPr>
        <w:t>PLOTARA TEACHING SERIES  ·  GUIDE 7</w:t>
      </w:r>
    </w:p>
    <w:p w14:paraId="5E2CB0C6" w14:textId="77777777" w:rsidR="00C931F4" w:rsidRDefault="00000000">
      <w:pPr>
        <w:spacing w:after="80"/>
      </w:pPr>
      <w:r>
        <w:rPr>
          <w:b/>
          <w:sz w:val="52"/>
        </w:rPr>
        <w:t>The Chi-Square Test</w:t>
      </w:r>
    </w:p>
    <w:p w14:paraId="738674CB" w14:textId="77777777" w:rsidR="00C931F4" w:rsidRDefault="00000000">
      <w:pPr>
        <w:spacing w:after="200"/>
      </w:pPr>
      <w:r>
        <w:rPr>
          <w:color w:val="5B6471"/>
          <w:sz w:val="24"/>
        </w:rPr>
        <w:t>Comparing categories instead of scores</w:t>
      </w:r>
    </w:p>
    <w:p w14:paraId="083B79EC" w14:textId="77777777" w:rsidR="00C931F4" w:rsidRDefault="00C931F4">
      <w:pPr>
        <w:pBdr>
          <w:bottom w:val="single" w:sz="6" w:space="6" w:color="D6DCE6"/>
        </w:pBdr>
        <w:spacing w:before="40" w:after="40"/>
      </w:pPr>
    </w:p>
    <w:p w14:paraId="6CC1150B" w14:textId="44164CD7" w:rsidR="00C931F4" w:rsidRDefault="00000000">
      <w:pPr>
        <w:spacing w:after="40"/>
      </w:pPr>
      <w:r>
        <w:rPr>
          <w:b/>
          <w:sz w:val="19"/>
        </w:rPr>
        <w:t xml:space="preserve">Dataset:  </w:t>
      </w:r>
      <w:r w:rsidR="003053C1" w:rsidRPr="003053C1">
        <w:rPr>
          <w:color w:val="5B6471"/>
          <w:sz w:val="19"/>
        </w:rPr>
        <w:t>Dataset_1_Stress_study</w:t>
      </w:r>
      <w:r>
        <w:rPr>
          <w:color w:val="5B6471"/>
          <w:sz w:val="19"/>
        </w:rPr>
        <w:t>.csv</w:t>
      </w:r>
    </w:p>
    <w:p w14:paraId="46513DAF" w14:textId="77777777" w:rsidR="00C931F4" w:rsidRDefault="00C931F4">
      <w:pPr>
        <w:spacing w:after="80"/>
      </w:pPr>
    </w:p>
    <w:p w14:paraId="35B831A0" w14:textId="77777777" w:rsidR="00C931F4" w:rsidRDefault="00000000">
      <w:pPr>
        <w:pStyle w:val="Heading2"/>
      </w:pPr>
      <w:r>
        <w:t>1.  The data</w:t>
      </w:r>
    </w:p>
    <w:p w14:paraId="765492CD" w14:textId="1A719EB1" w:rsidR="00C931F4" w:rsidRDefault="00000000">
      <w:r>
        <w:t xml:space="preserve">120 adults took part in a ten-week stress-management study; half were randomly assigned to a wellbeing programme and half were not. Load </w:t>
      </w:r>
      <w:r w:rsidR="003053C1" w:rsidRPr="003053C1">
        <w:rPr>
          <w:rFonts w:ascii="Consolas" w:hAnsi="Consolas"/>
          <w:sz w:val="20"/>
        </w:rPr>
        <w:t>Dataset_1_Stress_study</w:t>
      </w:r>
      <w:r>
        <w:rPr>
          <w:rFonts w:ascii="Consolas" w:hAnsi="Consolas"/>
          <w:sz w:val="20"/>
        </w:rPr>
        <w:t>.csv</w:t>
      </w:r>
      <w:r>
        <w:t xml:space="preserve"> — the summary version, </w:t>
      </w:r>
      <w:r>
        <w:rPr>
          <w:b/>
        </w:rPr>
        <w:t>120 rows, one per participant</w:t>
      </w:r>
      <w:r>
        <w:t>.</w:t>
      </w:r>
    </w:p>
    <w:p w14:paraId="2590ADD9" w14:textId="77777777" w:rsidR="00C931F4" w:rsidRDefault="00000000">
      <w:r>
        <w:t xml:space="preserve">Every other test in this series compares </w:t>
      </w:r>
      <w:r>
        <w:rPr>
          <w:b/>
        </w:rPr>
        <w:t>numbers</w:t>
      </w:r>
      <w:r>
        <w:t xml:space="preserve">. This one compares </w:t>
      </w:r>
      <w:r>
        <w:rPr>
          <w:b/>
        </w:rPr>
        <w:t>counts of people in categories</w:t>
      </w:r>
      <w:r>
        <w:t>, so we use a column that sorts each person into a band rather than giving them a score.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94"/>
        <w:gridCol w:w="6690"/>
      </w:tblGrid>
      <w:tr w:rsidR="00C931F4" w14:paraId="14168281" w14:textId="77777777">
        <w:trPr>
          <w:tblHeader/>
          <w:jc w:val="center"/>
        </w:trPr>
        <w:tc>
          <w:tcPr>
            <w:tcW w:w="2494" w:type="dxa"/>
            <w:shd w:val="clear" w:color="auto" w:fill="E8EFFC"/>
          </w:tcPr>
          <w:p w14:paraId="3A6A1C8C" w14:textId="77777777" w:rsidR="00C931F4" w:rsidRDefault="00000000">
            <w:pPr>
              <w:spacing w:before="60" w:after="60"/>
            </w:pPr>
            <w:r>
              <w:rPr>
                <w:b/>
                <w:sz w:val="19"/>
              </w:rPr>
              <w:t>Column</w:t>
            </w:r>
          </w:p>
        </w:tc>
        <w:tc>
          <w:tcPr>
            <w:tcW w:w="6690" w:type="dxa"/>
            <w:shd w:val="clear" w:color="auto" w:fill="E8EFFC"/>
          </w:tcPr>
          <w:p w14:paraId="13D601FA" w14:textId="77777777" w:rsidR="00C931F4" w:rsidRDefault="00000000">
            <w:pPr>
              <w:spacing w:before="60" w:after="60"/>
            </w:pPr>
            <w:r>
              <w:rPr>
                <w:b/>
                <w:sz w:val="19"/>
              </w:rPr>
              <w:t>What it is</w:t>
            </w:r>
          </w:p>
        </w:tc>
      </w:tr>
      <w:tr w:rsidR="00C931F4" w14:paraId="14E1331C" w14:textId="77777777">
        <w:trPr>
          <w:jc w:val="center"/>
        </w:trPr>
        <w:tc>
          <w:tcPr>
            <w:tcW w:w="2494" w:type="dxa"/>
          </w:tcPr>
          <w:p w14:paraId="3E99488F" w14:textId="77777777" w:rsidR="00C931F4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group</w:t>
            </w:r>
          </w:p>
        </w:tc>
        <w:tc>
          <w:tcPr>
            <w:tcW w:w="6690" w:type="dxa"/>
          </w:tcPr>
          <w:p w14:paraId="19816A8C" w14:textId="77777777" w:rsidR="00C931F4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Control</w:t>
            </w:r>
            <w:r>
              <w:rPr>
                <w:sz w:val="19"/>
              </w:rPr>
              <w:t xml:space="preserve"> or </w:t>
            </w:r>
            <w:r>
              <w:rPr>
                <w:rFonts w:ascii="Consolas" w:hAnsi="Consolas"/>
                <w:sz w:val="17"/>
              </w:rPr>
              <w:t>Treatment</w:t>
            </w:r>
            <w:r>
              <w:rPr>
                <w:sz w:val="19"/>
              </w:rPr>
              <w:t>.</w:t>
            </w:r>
          </w:p>
        </w:tc>
      </w:tr>
      <w:tr w:rsidR="00C931F4" w14:paraId="053FF4C9" w14:textId="77777777">
        <w:trPr>
          <w:jc w:val="center"/>
        </w:trPr>
        <w:tc>
          <w:tcPr>
            <w:tcW w:w="2494" w:type="dxa"/>
          </w:tcPr>
          <w:p w14:paraId="1E728022" w14:textId="77777777" w:rsidR="00C931F4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stress_band_post</w:t>
            </w:r>
          </w:p>
        </w:tc>
        <w:tc>
          <w:tcPr>
            <w:tcW w:w="6690" w:type="dxa"/>
          </w:tcPr>
          <w:p w14:paraId="29AA4C5A" w14:textId="77777777" w:rsidR="00C931F4" w:rsidRDefault="00000000">
            <w:pPr>
              <w:spacing w:before="60" w:after="60"/>
            </w:pPr>
            <w:r>
              <w:rPr>
                <w:sz w:val="19"/>
              </w:rPr>
              <w:t xml:space="preserve">Each participant's final stress score sorted into </w:t>
            </w:r>
            <w:r>
              <w:rPr>
                <w:rFonts w:ascii="Consolas" w:hAnsi="Consolas"/>
                <w:sz w:val="17"/>
              </w:rPr>
              <w:t>Low</w:t>
            </w:r>
            <w:r>
              <w:rPr>
                <w:sz w:val="19"/>
              </w:rPr>
              <w:t xml:space="preserve">, </w:t>
            </w:r>
            <w:r>
              <w:rPr>
                <w:rFonts w:ascii="Consolas" w:hAnsi="Consolas"/>
                <w:sz w:val="17"/>
              </w:rPr>
              <w:t>Moderate</w:t>
            </w:r>
            <w:r>
              <w:rPr>
                <w:sz w:val="19"/>
              </w:rPr>
              <w:t xml:space="preserve"> or </w:t>
            </w:r>
            <w:r>
              <w:rPr>
                <w:rFonts w:ascii="Consolas" w:hAnsi="Consolas"/>
                <w:sz w:val="17"/>
              </w:rPr>
              <w:t>High</w:t>
            </w:r>
            <w:r>
              <w:rPr>
                <w:sz w:val="19"/>
              </w:rPr>
              <w:t xml:space="preserve"> using the questionnaire's published cut-offs.</w:t>
            </w:r>
          </w:p>
        </w:tc>
      </w:tr>
    </w:tbl>
    <w:p w14:paraId="019E7F91" w14:textId="77777777" w:rsidR="00C931F4" w:rsidRDefault="00C931F4">
      <w:pPr>
        <w:spacing w:after="40"/>
      </w:pPr>
    </w:p>
    <w:p w14:paraId="38908829" w14:textId="77777777" w:rsidR="00C931F4" w:rsidRDefault="00000000">
      <w:pPr>
        <w:pStyle w:val="Heading2"/>
      </w:pPr>
      <w:r>
        <w:t>2.  The question</w:t>
      </w:r>
    </w:p>
    <w:p w14:paraId="1BC4665D" w14:textId="77777777" w:rsidR="00C931F4" w:rsidRDefault="00000000">
      <w:r>
        <w:rPr>
          <w:b/>
        </w:rPr>
        <w:t>Were people in the two arms of the study spread differently across the three stress bands?</w:t>
      </w:r>
      <w:r>
        <w:t xml:space="preserve"> Notice what changed: the outcome is no longer a score, it is a label. Nobody has a mean stress band.</w:t>
      </w:r>
    </w:p>
    <w:p w14:paraId="5897B814" w14:textId="77777777" w:rsidR="00C931F4" w:rsidRDefault="00000000">
      <w:pPr>
        <w:pStyle w:val="ListNumber"/>
        <w:spacing w:after="60"/>
      </w:pPr>
      <w:r>
        <w:rPr>
          <w:rFonts w:ascii="Consolas" w:hAnsi="Consolas"/>
          <w:sz w:val="20"/>
        </w:rPr>
        <w:t>Plotting</w:t>
      </w:r>
      <w:r>
        <w:t xml:space="preserve"> tab → </w:t>
      </w:r>
      <w:r>
        <w:rPr>
          <w:rFonts w:ascii="Consolas" w:hAnsi="Consolas"/>
          <w:sz w:val="20"/>
        </w:rPr>
        <w:t>Bar</w:t>
      </w:r>
      <w:r>
        <w:t>.</w:t>
      </w:r>
    </w:p>
    <w:p w14:paraId="4F7DBD3E" w14:textId="77777777" w:rsidR="00C931F4" w:rsidRDefault="00000000">
      <w:pPr>
        <w:pStyle w:val="ListNumber"/>
        <w:spacing w:after="60"/>
      </w:pPr>
      <w:r>
        <w:rPr>
          <w:rFonts w:ascii="Consolas" w:hAnsi="Consolas"/>
          <w:sz w:val="20"/>
        </w:rPr>
        <w:t>X Axis</w:t>
      </w:r>
      <w:r>
        <w:t xml:space="preserve"> → </w:t>
      </w:r>
      <w:r>
        <w:rPr>
          <w:rFonts w:ascii="Consolas" w:hAnsi="Consolas"/>
          <w:sz w:val="20"/>
        </w:rPr>
        <w:t>stress_band_post</w:t>
      </w:r>
      <w:r>
        <w:t xml:space="preserve">, and switch on the option to plot </w:t>
      </w:r>
      <w:r>
        <w:rPr>
          <w:b/>
        </w:rPr>
        <w:t>counts</w:t>
      </w:r>
      <w:r>
        <w:t>.</w:t>
      </w:r>
    </w:p>
    <w:p w14:paraId="25D1D588" w14:textId="77777777" w:rsidR="00C931F4" w:rsidRDefault="00000000">
      <w:pPr>
        <w:pStyle w:val="ListNumber"/>
        <w:spacing w:after="180"/>
      </w:pPr>
      <w:r>
        <w:t xml:space="preserve">Set </w:t>
      </w:r>
      <w:r>
        <w:rPr>
          <w:rFonts w:ascii="Consolas" w:hAnsi="Consolas"/>
          <w:sz w:val="20"/>
        </w:rPr>
        <w:t>Group By</w:t>
      </w:r>
      <w:r>
        <w:t xml:space="preserve"> → </w:t>
      </w:r>
      <w:r>
        <w:rPr>
          <w:rFonts w:ascii="Consolas" w:hAnsi="Consolas"/>
          <w:sz w:val="20"/>
        </w:rPr>
        <w:t>group</w:t>
      </w:r>
      <w:r>
        <w:t>.</w:t>
      </w:r>
    </w:p>
    <w:p w14:paraId="2E783B9A" w14:textId="197F151D" w:rsidR="00BB3971" w:rsidRDefault="00BB3971" w:rsidP="00BB3971">
      <w:pPr>
        <w:pStyle w:val="ListNumber"/>
        <w:numPr>
          <w:ilvl w:val="0"/>
          <w:numId w:val="0"/>
        </w:numPr>
        <w:spacing w:after="180"/>
        <w:ind w:left="360" w:hanging="360"/>
      </w:pPr>
      <w:r>
        <w:rPr>
          <w:noProof/>
        </w:rPr>
        <w:drawing>
          <wp:inline distT="0" distB="0" distL="0" distR="0" wp14:anchorId="3B59BC72" wp14:editId="0871CFB5">
            <wp:extent cx="4774019" cy="2843006"/>
            <wp:effectExtent l="0" t="0" r="1270" b="1905"/>
            <wp:docPr id="21073417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341743" name="Picture 210734174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92436" cy="2853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915D8" w14:textId="77777777" w:rsidR="00C931F4" w:rsidRDefault="00000000">
      <w:pPr>
        <w:spacing w:after="200"/>
      </w:pPr>
      <w:r>
        <w:rPr>
          <w:i/>
          <w:color w:val="5B6471"/>
          <w:sz w:val="18"/>
        </w:rPr>
        <w:t>Figure 1. How many people ended up in each band.</w:t>
      </w:r>
    </w:p>
    <w:p w14:paraId="7927DCE7" w14:textId="77777777" w:rsidR="00C931F4" w:rsidRDefault="00000000">
      <w:r>
        <w:lastRenderedPageBreak/>
        <w:t xml:space="preserve">The two arms clearly sit in different places — the control group piles up in </w:t>
      </w:r>
      <w:r>
        <w:rPr>
          <w:rFonts w:ascii="Consolas" w:hAnsi="Consolas"/>
          <w:sz w:val="20"/>
        </w:rPr>
        <w:t>High</w:t>
      </w:r>
      <w:r>
        <w:t xml:space="preserve">, the treatment group in </w:t>
      </w:r>
      <w:r>
        <w:rPr>
          <w:rFonts w:ascii="Consolas" w:hAnsi="Consolas"/>
          <w:sz w:val="20"/>
        </w:rPr>
        <w:t>Low</w:t>
      </w:r>
      <w:r>
        <w:t>. The test asks whether a split this uneven could come about by chance.</w:t>
      </w:r>
    </w:p>
    <w:p w14:paraId="09528E2C" w14:textId="553466DD" w:rsidR="00C931F4" w:rsidRDefault="00000000" w:rsidP="00BB3971">
      <w:pPr>
        <w:pStyle w:val="ListNumber"/>
      </w:pPr>
      <w:r>
        <w:t>Which test, and why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762"/>
        <w:gridCol w:w="4422"/>
      </w:tblGrid>
      <w:tr w:rsidR="00C931F4" w14:paraId="6C9E7B0B" w14:textId="77777777">
        <w:trPr>
          <w:tblHeader/>
          <w:jc w:val="center"/>
        </w:trPr>
        <w:tc>
          <w:tcPr>
            <w:tcW w:w="4762" w:type="dxa"/>
            <w:shd w:val="clear" w:color="auto" w:fill="E8EFFC"/>
          </w:tcPr>
          <w:p w14:paraId="3F24D206" w14:textId="77777777" w:rsidR="00C931F4" w:rsidRDefault="00000000">
            <w:pPr>
              <w:spacing w:before="60" w:after="60"/>
            </w:pPr>
            <w:r>
              <w:rPr>
                <w:b/>
                <w:sz w:val="19"/>
              </w:rPr>
              <w:t>What you are comparing</w:t>
            </w:r>
          </w:p>
        </w:tc>
        <w:tc>
          <w:tcPr>
            <w:tcW w:w="4422" w:type="dxa"/>
            <w:shd w:val="clear" w:color="auto" w:fill="E8EFFC"/>
          </w:tcPr>
          <w:p w14:paraId="029A182F" w14:textId="77777777" w:rsidR="00C931F4" w:rsidRDefault="00000000">
            <w:pPr>
              <w:spacing w:before="60" w:after="60"/>
            </w:pPr>
            <w:r>
              <w:rPr>
                <w:b/>
                <w:sz w:val="19"/>
              </w:rPr>
              <w:t>Use</w:t>
            </w:r>
          </w:p>
        </w:tc>
      </w:tr>
      <w:tr w:rsidR="00C931F4" w14:paraId="5D6D18F2" w14:textId="77777777">
        <w:trPr>
          <w:jc w:val="center"/>
        </w:trPr>
        <w:tc>
          <w:tcPr>
            <w:tcW w:w="4762" w:type="dxa"/>
          </w:tcPr>
          <w:p w14:paraId="16E34924" w14:textId="77777777" w:rsidR="00C931F4" w:rsidRDefault="00000000">
            <w:pPr>
              <w:spacing w:before="60" w:after="60"/>
            </w:pPr>
            <w:r>
              <w:rPr>
                <w:sz w:val="19"/>
              </w:rPr>
              <w:t xml:space="preserve">Two </w:t>
            </w:r>
            <w:r>
              <w:rPr>
                <w:b/>
                <w:sz w:val="19"/>
              </w:rPr>
              <w:t>categorical</w:t>
            </w:r>
            <w:r>
              <w:rPr>
                <w:sz w:val="19"/>
              </w:rPr>
              <w:t xml:space="preserve"> variables, different people in each cell</w:t>
            </w:r>
          </w:p>
        </w:tc>
        <w:tc>
          <w:tcPr>
            <w:tcW w:w="4422" w:type="dxa"/>
          </w:tcPr>
          <w:p w14:paraId="2879A2F3" w14:textId="77777777" w:rsidR="00C931F4" w:rsidRDefault="00000000">
            <w:pPr>
              <w:spacing w:before="60" w:after="60"/>
            </w:pPr>
            <w:r>
              <w:rPr>
                <w:b/>
                <w:sz w:val="19"/>
              </w:rPr>
              <w:t>Chi-square test of independence</w:t>
            </w:r>
            <w:r>
              <w:rPr>
                <w:sz w:val="19"/>
              </w:rPr>
              <w:t xml:space="preserve">  ← us</w:t>
            </w:r>
          </w:p>
        </w:tc>
      </w:tr>
      <w:tr w:rsidR="00C931F4" w14:paraId="3FFEA432" w14:textId="77777777">
        <w:trPr>
          <w:jc w:val="center"/>
        </w:trPr>
        <w:tc>
          <w:tcPr>
            <w:tcW w:w="4762" w:type="dxa"/>
          </w:tcPr>
          <w:p w14:paraId="3D62DF7F" w14:textId="77777777" w:rsidR="00C931F4" w:rsidRDefault="00000000">
            <w:pPr>
              <w:spacing w:before="60" w:after="60"/>
            </w:pPr>
            <w:r>
              <w:rPr>
                <w:sz w:val="19"/>
              </w:rPr>
              <w:t>The same, but a small 2×2 table with expected counts under 5</w:t>
            </w:r>
          </w:p>
        </w:tc>
        <w:tc>
          <w:tcPr>
            <w:tcW w:w="4422" w:type="dxa"/>
          </w:tcPr>
          <w:p w14:paraId="1524CDFA" w14:textId="37837CF0" w:rsidR="00C931F4" w:rsidRDefault="00000000">
            <w:pPr>
              <w:spacing w:before="60" w:after="60"/>
            </w:pPr>
            <w:r>
              <w:rPr>
                <w:sz w:val="19"/>
              </w:rPr>
              <w:t>Fisher</w:t>
            </w:r>
            <w:r w:rsidR="00BB3971">
              <w:rPr>
                <w:sz w:val="19"/>
              </w:rPr>
              <w:t>’</w:t>
            </w:r>
            <w:r>
              <w:rPr>
                <w:sz w:val="19"/>
              </w:rPr>
              <w:t>s exact test</w:t>
            </w:r>
          </w:p>
        </w:tc>
      </w:tr>
      <w:tr w:rsidR="00C931F4" w14:paraId="54F18E84" w14:textId="77777777">
        <w:trPr>
          <w:jc w:val="center"/>
        </w:trPr>
        <w:tc>
          <w:tcPr>
            <w:tcW w:w="4762" w:type="dxa"/>
          </w:tcPr>
          <w:p w14:paraId="26EDEABB" w14:textId="65FFF994" w:rsidR="00C931F4" w:rsidRDefault="00000000">
            <w:pPr>
              <w:spacing w:before="60" w:after="60"/>
            </w:pPr>
            <w:r>
              <w:rPr>
                <w:sz w:val="19"/>
              </w:rPr>
              <w:t xml:space="preserve">The same people </w:t>
            </w:r>
            <w:r w:rsidR="00BB3971">
              <w:rPr>
                <w:sz w:val="19"/>
              </w:rPr>
              <w:pgNum/>
            </w:r>
            <w:proofErr w:type="spellStart"/>
            <w:r w:rsidR="00BB3971">
              <w:rPr>
                <w:sz w:val="19"/>
              </w:rPr>
              <w:t>ategorized</w:t>
            </w:r>
            <w:proofErr w:type="spellEnd"/>
            <w:r>
              <w:rPr>
                <w:sz w:val="19"/>
              </w:rPr>
              <w:t xml:space="preserve"> </w:t>
            </w:r>
            <w:r>
              <w:rPr>
                <w:b/>
                <w:sz w:val="19"/>
              </w:rPr>
              <w:t>twice</w:t>
            </w:r>
            <w:r>
              <w:rPr>
                <w:sz w:val="19"/>
              </w:rPr>
              <w:t xml:space="preserve"> (before/after)</w:t>
            </w:r>
          </w:p>
        </w:tc>
        <w:tc>
          <w:tcPr>
            <w:tcW w:w="4422" w:type="dxa"/>
          </w:tcPr>
          <w:p w14:paraId="1052D63D" w14:textId="031B87F3" w:rsidR="00C931F4" w:rsidRDefault="00000000">
            <w:pPr>
              <w:spacing w:before="60" w:after="60"/>
            </w:pPr>
            <w:r>
              <w:rPr>
                <w:sz w:val="19"/>
              </w:rPr>
              <w:t>McNemar</w:t>
            </w:r>
            <w:r w:rsidR="00BB3971">
              <w:rPr>
                <w:sz w:val="19"/>
              </w:rPr>
              <w:t>’</w:t>
            </w:r>
            <w:r>
              <w:rPr>
                <w:sz w:val="19"/>
              </w:rPr>
              <w:t>s test</w:t>
            </w:r>
          </w:p>
        </w:tc>
      </w:tr>
      <w:tr w:rsidR="00C931F4" w14:paraId="7BD3BC85" w14:textId="77777777">
        <w:trPr>
          <w:jc w:val="center"/>
        </w:trPr>
        <w:tc>
          <w:tcPr>
            <w:tcW w:w="4762" w:type="dxa"/>
          </w:tcPr>
          <w:p w14:paraId="51F54C2C" w14:textId="77777777" w:rsidR="00C931F4" w:rsidRDefault="00000000">
            <w:pPr>
              <w:spacing w:before="60" w:after="60"/>
            </w:pPr>
            <w:r>
              <w:rPr>
                <w:sz w:val="19"/>
              </w:rPr>
              <w:t>One categorical variable against expected proportions</w:t>
            </w:r>
          </w:p>
        </w:tc>
        <w:tc>
          <w:tcPr>
            <w:tcW w:w="4422" w:type="dxa"/>
          </w:tcPr>
          <w:p w14:paraId="4A78153E" w14:textId="77777777" w:rsidR="00C931F4" w:rsidRDefault="00000000">
            <w:pPr>
              <w:spacing w:before="60" w:after="60"/>
            </w:pPr>
            <w:r>
              <w:rPr>
                <w:sz w:val="19"/>
              </w:rPr>
              <w:t>Chi-square goodness of fit</w:t>
            </w:r>
          </w:p>
        </w:tc>
      </w:tr>
    </w:tbl>
    <w:p w14:paraId="04F421B9" w14:textId="77777777" w:rsidR="00C931F4" w:rsidRDefault="00C931F4">
      <w:pPr>
        <w:spacing w:after="40"/>
      </w:pPr>
    </w:p>
    <w:p w14:paraId="24BE5CCC" w14:textId="77777777" w:rsidR="00C931F4" w:rsidRDefault="00000000">
      <w:r>
        <w:t xml:space="preserve">Chi-square works by comparing the counts you </w:t>
      </w:r>
      <w:r>
        <w:rPr>
          <w:b/>
        </w:rPr>
        <w:t>observed</w:t>
      </w:r>
      <w:r>
        <w:t xml:space="preserve"> with the counts you would </w:t>
      </w:r>
      <w:r>
        <w:rPr>
          <w:b/>
        </w:rPr>
        <w:t>expect</w:t>
      </w:r>
      <w:r>
        <w:t xml:space="preserve"> if the two variables were completely unrelated. If, say, a third of everyone ends up in the </w:t>
      </w:r>
      <w:r>
        <w:rPr>
          <w:rFonts w:ascii="Consolas" w:hAnsi="Consolas"/>
          <w:sz w:val="20"/>
        </w:rPr>
        <w:t>Low</w:t>
      </w:r>
      <w:r>
        <w:t xml:space="preserve"> band, then a third of each arm should — and the further reality strays from that, the larger χ² becomes.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11"/>
      </w:tblGrid>
      <w:tr w:rsidR="00C931F4" w14:paraId="3D9D4C1A" w14:textId="77777777">
        <w:tc>
          <w:tcPr>
            <w:tcW w:w="9411" w:type="dxa"/>
            <w:tcBorders>
              <w:top w:val="single" w:sz="6" w:space="0" w:color="8FB0E8"/>
              <w:left w:val="single" w:sz="6" w:space="0" w:color="8FB0E8"/>
              <w:bottom w:val="single" w:sz="6" w:space="0" w:color="8FB0E8"/>
              <w:right w:val="single" w:sz="6" w:space="0" w:color="8FB0E8"/>
            </w:tcBorders>
            <w:shd w:val="clear" w:color="auto" w:fill="E8EFFC"/>
          </w:tcPr>
          <w:p w14:paraId="35FAC67E" w14:textId="77777777" w:rsidR="00C931F4" w:rsidRDefault="00000000">
            <w:pPr>
              <w:spacing w:before="80" w:after="40"/>
            </w:pPr>
            <w:r>
              <w:rPr>
                <w:b/>
                <w:sz w:val="20"/>
              </w:rPr>
              <w:t>The assumption that actually bites</w:t>
            </w:r>
          </w:p>
          <w:p w14:paraId="709D9514" w14:textId="77777777" w:rsidR="00C931F4" w:rsidRDefault="00000000">
            <w:pPr>
              <w:spacing w:after="60"/>
            </w:pPr>
            <w:r>
              <w:rPr>
                <w:sz w:val="20"/>
              </w:rPr>
              <w:t xml:space="preserve">Every </w:t>
            </w:r>
            <w:r>
              <w:rPr>
                <w:b/>
                <w:sz w:val="20"/>
              </w:rPr>
              <w:t>expected</w:t>
            </w:r>
            <w:r>
              <w:rPr>
                <w:sz w:val="20"/>
              </w:rPr>
              <w:t xml:space="preserve"> count should be at least 5. The output prints the expected counts so you can check. Ours are all 17 or more.</w:t>
            </w:r>
          </w:p>
          <w:p w14:paraId="686D2124" w14:textId="77777777" w:rsidR="00C931F4" w:rsidRDefault="00000000">
            <w:pPr>
              <w:spacing w:after="120"/>
            </w:pPr>
            <w:r>
              <w:rPr>
                <w:sz w:val="20"/>
              </w:rPr>
              <w:t xml:space="preserve">The other assumption is independence: </w:t>
            </w:r>
            <w:r>
              <w:rPr>
                <w:b/>
                <w:sz w:val="20"/>
              </w:rPr>
              <w:t>one row per person</w:t>
            </w:r>
            <w:r>
              <w:rPr>
                <w:sz w:val="20"/>
              </w:rPr>
              <w:t>. A chi-square on the weekly study file would count everybody ten times and give a wildly wrong answer.</w:t>
            </w:r>
          </w:p>
        </w:tc>
      </w:tr>
    </w:tbl>
    <w:p w14:paraId="567D5C1C" w14:textId="77777777" w:rsidR="00C931F4" w:rsidRDefault="00C931F4">
      <w:pPr>
        <w:spacing w:after="40"/>
      </w:pPr>
    </w:p>
    <w:p w14:paraId="22436FC5" w14:textId="523B1C04" w:rsidR="00C931F4" w:rsidRDefault="00000000" w:rsidP="00BB3971">
      <w:pPr>
        <w:pStyle w:val="ListNumber"/>
      </w:pPr>
      <w:r>
        <w:t>Running the test</w:t>
      </w:r>
    </w:p>
    <w:p w14:paraId="1023AAFE" w14:textId="77777777" w:rsidR="00C931F4" w:rsidRDefault="00000000">
      <w:r>
        <w:rPr>
          <w:rFonts w:ascii="Consolas" w:hAnsi="Consolas"/>
          <w:sz w:val="20"/>
        </w:rPr>
        <w:t>Statistics</w:t>
      </w:r>
      <w:r>
        <w:t xml:space="preserve"> tab → </w:t>
      </w:r>
      <w:r>
        <w:rPr>
          <w:rFonts w:ascii="Consolas" w:hAnsi="Consolas"/>
          <w:sz w:val="20"/>
        </w:rPr>
        <w:t>Categorical</w:t>
      </w:r>
      <w:r>
        <w:t xml:space="preserve"> → </w:t>
      </w:r>
      <w:r>
        <w:rPr>
          <w:rFonts w:ascii="Consolas" w:hAnsi="Consolas"/>
          <w:sz w:val="20"/>
        </w:rPr>
        <w:t>Chi-Square Independence</w:t>
      </w:r>
      <w:r>
        <w:t>.</w:t>
      </w:r>
    </w:p>
    <w:p w14:paraId="43637E42" w14:textId="77777777" w:rsidR="00C931F4" w:rsidRDefault="00000000">
      <w:r>
        <w:t xml:space="preserve">The panel opens with a 2×2 grid you can type counts into by hand — useful when you have a published table and no raw data. Ignore it. Underneath, below the </w:t>
      </w:r>
      <w:r>
        <w:rPr>
          <w:rFonts w:ascii="Consolas" w:hAnsi="Consolas"/>
          <w:sz w:val="20"/>
        </w:rPr>
        <w:t>OR columns</w:t>
      </w:r>
      <w:r>
        <w:t xml:space="preserve"> divider, are the two selectors we want:</w:t>
      </w:r>
    </w:p>
    <w:p w14:paraId="5AEF755A" w14:textId="4A772F24" w:rsidR="00C931F4" w:rsidRDefault="00000000" w:rsidP="00BB3971">
      <w:pPr>
        <w:pStyle w:val="ListNumber"/>
        <w:numPr>
          <w:ilvl w:val="0"/>
          <w:numId w:val="10"/>
        </w:numPr>
        <w:spacing w:after="60"/>
      </w:pPr>
      <w:r w:rsidRPr="00BB3971">
        <w:rPr>
          <w:rFonts w:ascii="Consolas" w:hAnsi="Consolas"/>
          <w:sz w:val="20"/>
        </w:rPr>
        <w:t>Variable 1</w:t>
      </w:r>
      <w:r>
        <w:t xml:space="preserve"> → </w:t>
      </w:r>
      <w:r w:rsidRPr="00BB3971">
        <w:rPr>
          <w:rFonts w:ascii="Consolas" w:hAnsi="Consolas"/>
          <w:sz w:val="20"/>
        </w:rPr>
        <w:t>group</w:t>
      </w:r>
    </w:p>
    <w:p w14:paraId="2F75F38F" w14:textId="77777777" w:rsidR="00C931F4" w:rsidRDefault="00000000">
      <w:pPr>
        <w:pStyle w:val="ListNumber"/>
        <w:spacing w:after="180"/>
      </w:pPr>
      <w:r>
        <w:rPr>
          <w:rFonts w:ascii="Consolas" w:hAnsi="Consolas"/>
          <w:sz w:val="20"/>
        </w:rPr>
        <w:t>Variable 2</w:t>
      </w:r>
      <w:r>
        <w:t xml:space="preserve"> → </w:t>
      </w:r>
      <w:r>
        <w:rPr>
          <w:rFonts w:ascii="Consolas" w:hAnsi="Consolas"/>
          <w:sz w:val="20"/>
        </w:rPr>
        <w:t>stress_band_post</w:t>
      </w:r>
    </w:p>
    <w:p w14:paraId="4B7150C5" w14:textId="0F98D530" w:rsidR="00BB3971" w:rsidRDefault="00BB3971">
      <w:pPr>
        <w:spacing w:after="200"/>
        <w:rPr>
          <w:i/>
          <w:color w:val="5B6471"/>
          <w:sz w:val="18"/>
        </w:rPr>
      </w:pPr>
      <w:r w:rsidRPr="00BB3971">
        <w:rPr>
          <w:i/>
          <w:noProof/>
          <w:color w:val="5B6471"/>
          <w:sz w:val="18"/>
        </w:rPr>
        <w:drawing>
          <wp:inline distT="0" distB="0" distL="0" distR="0" wp14:anchorId="753739EC" wp14:editId="7A829FA0">
            <wp:extent cx="4221126" cy="2701216"/>
            <wp:effectExtent l="0" t="0" r="0" b="4445"/>
            <wp:docPr id="6731750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17507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53757" cy="2722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C088E" w14:textId="0C2D931C" w:rsidR="00C931F4" w:rsidRDefault="00000000">
      <w:pPr>
        <w:spacing w:after="200"/>
      </w:pPr>
      <w:r>
        <w:rPr>
          <w:i/>
          <w:color w:val="5B6471"/>
          <w:sz w:val="18"/>
        </w:rPr>
        <w:t>Figure 2. The completed set-up. Leave the manual 2×2 grid empty.</w:t>
      </w:r>
    </w:p>
    <w:p w14:paraId="6540D9D8" w14:textId="77777777" w:rsidR="00C931F4" w:rsidRDefault="00000000">
      <w:pPr>
        <w:pStyle w:val="Heading3"/>
      </w:pPr>
      <w:r>
        <w:lastRenderedPageBreak/>
        <w:t>Options</w:t>
      </w:r>
    </w:p>
    <w:p w14:paraId="03F21E65" w14:textId="77777777" w:rsidR="00C931F4" w:rsidRDefault="00000000">
      <w:r>
        <w:rPr>
          <w:rFonts w:ascii="Consolas" w:hAnsi="Consolas"/>
          <w:sz w:val="20"/>
        </w:rPr>
        <w:t>Yates Correction (2x2 tables)</w:t>
      </w:r>
      <w:r>
        <w:t xml:space="preserve"> applies only when both variables have exactly two levels, where it makes the test slightly more conservative. Our table is 2 × 3, so it does not apply.</w:t>
      </w:r>
    </w:p>
    <w:p w14:paraId="7A84C3E2" w14:textId="77777777" w:rsidR="00C931F4" w:rsidRDefault="00000000">
      <w:pPr>
        <w:pStyle w:val="Heading2"/>
      </w:pPr>
      <w:r>
        <w:t>5.  The result</w:t>
      </w:r>
    </w:p>
    <w:p w14:paraId="6D561532" w14:textId="304BB9B7" w:rsidR="00FE443C" w:rsidRDefault="00FE443C">
      <w:pPr>
        <w:spacing w:after="200"/>
        <w:rPr>
          <w:i/>
          <w:color w:val="5B6471"/>
          <w:sz w:val="18"/>
        </w:rPr>
      </w:pPr>
      <w:r w:rsidRPr="00FE443C">
        <w:rPr>
          <w:i/>
          <w:noProof/>
          <w:color w:val="5B6471"/>
          <w:sz w:val="18"/>
        </w:rPr>
        <w:drawing>
          <wp:inline distT="0" distB="0" distL="0" distR="0" wp14:anchorId="6420648A" wp14:editId="144AE45D">
            <wp:extent cx="5976620" cy="4661535"/>
            <wp:effectExtent l="0" t="0" r="5080" b="0"/>
            <wp:docPr id="17939462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94624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76620" cy="466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44BB3" w14:textId="50F54B49" w:rsidR="00C931F4" w:rsidRDefault="00000000">
      <w:pPr>
        <w:spacing w:after="200"/>
      </w:pPr>
      <w:r>
        <w:rPr>
          <w:i/>
          <w:color w:val="5B6471"/>
          <w:sz w:val="18"/>
        </w:rPr>
        <w:t>Figure 3. The output.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28"/>
        <w:gridCol w:w="5102"/>
        <w:gridCol w:w="2154"/>
      </w:tblGrid>
      <w:tr w:rsidR="00C931F4" w14:paraId="62B198CC" w14:textId="77777777">
        <w:trPr>
          <w:tblHeader/>
          <w:jc w:val="center"/>
        </w:trPr>
        <w:tc>
          <w:tcPr>
            <w:tcW w:w="1928" w:type="dxa"/>
            <w:shd w:val="clear" w:color="auto" w:fill="E8EFFC"/>
          </w:tcPr>
          <w:p w14:paraId="3918F861" w14:textId="77777777" w:rsidR="00C931F4" w:rsidRDefault="00000000">
            <w:pPr>
              <w:spacing w:before="60" w:after="60"/>
            </w:pPr>
            <w:r>
              <w:rPr>
                <w:b/>
                <w:sz w:val="19"/>
              </w:rPr>
              <w:t>Line</w:t>
            </w:r>
          </w:p>
        </w:tc>
        <w:tc>
          <w:tcPr>
            <w:tcW w:w="5102" w:type="dxa"/>
            <w:shd w:val="clear" w:color="auto" w:fill="E8EFFC"/>
          </w:tcPr>
          <w:p w14:paraId="0DFD7FBA" w14:textId="77777777" w:rsidR="00C931F4" w:rsidRDefault="00000000">
            <w:pPr>
              <w:spacing w:before="60" w:after="60"/>
            </w:pPr>
            <w:r>
              <w:rPr>
                <w:b/>
                <w:sz w:val="19"/>
              </w:rPr>
              <w:t>What it means</w:t>
            </w:r>
          </w:p>
        </w:tc>
        <w:tc>
          <w:tcPr>
            <w:tcW w:w="2154" w:type="dxa"/>
            <w:shd w:val="clear" w:color="auto" w:fill="E8EFFC"/>
          </w:tcPr>
          <w:p w14:paraId="5119B7EB" w14:textId="77777777" w:rsidR="00C931F4" w:rsidRDefault="00000000">
            <w:pPr>
              <w:spacing w:before="60" w:after="60"/>
            </w:pPr>
            <w:r>
              <w:rPr>
                <w:b/>
                <w:sz w:val="19"/>
              </w:rPr>
              <w:t>Ours</w:t>
            </w:r>
          </w:p>
        </w:tc>
      </w:tr>
      <w:tr w:rsidR="00C931F4" w14:paraId="2DFED6C7" w14:textId="77777777">
        <w:trPr>
          <w:jc w:val="center"/>
        </w:trPr>
        <w:tc>
          <w:tcPr>
            <w:tcW w:w="1928" w:type="dxa"/>
          </w:tcPr>
          <w:p w14:paraId="523FAF90" w14:textId="77777777" w:rsidR="00C931F4" w:rsidRDefault="00000000">
            <w:pPr>
              <w:spacing w:before="60" w:after="60"/>
            </w:pPr>
            <w:r>
              <w:rPr>
                <w:sz w:val="19"/>
              </w:rPr>
              <w:t>The contingency table</w:t>
            </w:r>
          </w:p>
        </w:tc>
        <w:tc>
          <w:tcPr>
            <w:tcW w:w="5102" w:type="dxa"/>
          </w:tcPr>
          <w:p w14:paraId="703EFEE7" w14:textId="77777777" w:rsidR="00C931F4" w:rsidRDefault="00000000">
            <w:pPr>
              <w:spacing w:before="60" w:after="60"/>
            </w:pPr>
            <w:r>
              <w:rPr>
                <w:sz w:val="19"/>
              </w:rPr>
              <w:t>Your observed counts. Plotara lists the categories alphabetically.</w:t>
            </w:r>
          </w:p>
        </w:tc>
        <w:tc>
          <w:tcPr>
            <w:tcW w:w="2154" w:type="dxa"/>
          </w:tcPr>
          <w:p w14:paraId="3BC5CAB8" w14:textId="77777777" w:rsidR="00C931F4" w:rsidRDefault="00000000">
            <w:pPr>
              <w:spacing w:before="60" w:after="60"/>
            </w:pPr>
            <w:r>
              <w:rPr>
                <w:sz w:val="19"/>
              </w:rPr>
              <w:t>see below</w:t>
            </w:r>
          </w:p>
        </w:tc>
      </w:tr>
      <w:tr w:rsidR="00C931F4" w14:paraId="13BE506C" w14:textId="77777777">
        <w:trPr>
          <w:jc w:val="center"/>
        </w:trPr>
        <w:tc>
          <w:tcPr>
            <w:tcW w:w="1928" w:type="dxa"/>
          </w:tcPr>
          <w:p w14:paraId="24825348" w14:textId="77777777" w:rsidR="00C931F4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χ²</w:t>
            </w:r>
            <w:r>
              <w:rPr>
                <w:sz w:val="19"/>
              </w:rPr>
              <w:t xml:space="preserve"> and </w:t>
            </w:r>
            <w:r>
              <w:rPr>
                <w:rFonts w:ascii="Consolas" w:hAnsi="Consolas"/>
                <w:sz w:val="17"/>
              </w:rPr>
              <w:t>df</w:t>
            </w:r>
          </w:p>
        </w:tc>
        <w:tc>
          <w:tcPr>
            <w:tcW w:w="5102" w:type="dxa"/>
          </w:tcPr>
          <w:p w14:paraId="36C1B378" w14:textId="77777777" w:rsidR="00C931F4" w:rsidRDefault="00000000">
            <w:pPr>
              <w:spacing w:before="60" w:after="60"/>
            </w:pPr>
            <w:r>
              <w:rPr>
                <w:sz w:val="19"/>
              </w:rPr>
              <w:t>How far observed strays from expected. df = (rows − 1) × (columns − 1).</w:t>
            </w:r>
          </w:p>
        </w:tc>
        <w:tc>
          <w:tcPr>
            <w:tcW w:w="2154" w:type="dxa"/>
          </w:tcPr>
          <w:p w14:paraId="400ED2EB" w14:textId="77777777" w:rsidR="00C931F4" w:rsidRDefault="00000000">
            <w:pPr>
              <w:spacing w:before="60" w:after="60"/>
            </w:pPr>
            <w:r>
              <w:rPr>
                <w:sz w:val="19"/>
              </w:rPr>
              <w:t>χ²(2) = 47.80</w:t>
            </w:r>
          </w:p>
        </w:tc>
      </w:tr>
      <w:tr w:rsidR="00C931F4" w14:paraId="2CB65AA6" w14:textId="77777777">
        <w:trPr>
          <w:jc w:val="center"/>
        </w:trPr>
        <w:tc>
          <w:tcPr>
            <w:tcW w:w="1928" w:type="dxa"/>
          </w:tcPr>
          <w:p w14:paraId="07200AEA" w14:textId="77777777" w:rsidR="00C931F4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P-Value</w:t>
            </w:r>
          </w:p>
        </w:tc>
        <w:tc>
          <w:tcPr>
            <w:tcW w:w="5102" w:type="dxa"/>
          </w:tcPr>
          <w:p w14:paraId="734F7804" w14:textId="77777777" w:rsidR="00C931F4" w:rsidRDefault="00000000">
            <w:pPr>
              <w:spacing w:before="60" w:after="60"/>
            </w:pPr>
            <w:r>
              <w:rPr>
                <w:sz w:val="19"/>
              </w:rPr>
              <w:t>How often a split this uneven would arise if the two variables were unrelated.</w:t>
            </w:r>
          </w:p>
        </w:tc>
        <w:tc>
          <w:tcPr>
            <w:tcW w:w="2154" w:type="dxa"/>
          </w:tcPr>
          <w:p w14:paraId="4ABC1675" w14:textId="77777777" w:rsidR="00C931F4" w:rsidRDefault="00000000">
            <w:pPr>
              <w:spacing w:before="60" w:after="60"/>
            </w:pPr>
            <w:r>
              <w:rPr>
                <w:sz w:val="19"/>
              </w:rPr>
              <w:t>p &lt; 0.001</w:t>
            </w:r>
          </w:p>
        </w:tc>
      </w:tr>
      <w:tr w:rsidR="00C931F4" w14:paraId="013C6E81" w14:textId="77777777">
        <w:trPr>
          <w:jc w:val="center"/>
        </w:trPr>
        <w:tc>
          <w:tcPr>
            <w:tcW w:w="1928" w:type="dxa"/>
          </w:tcPr>
          <w:p w14:paraId="6AC06B78" w14:textId="77777777" w:rsidR="00C931F4" w:rsidRDefault="00000000">
            <w:pPr>
              <w:spacing w:before="60" w:after="60"/>
            </w:pPr>
            <w:r>
              <w:rPr>
                <w:sz w:val="19"/>
              </w:rPr>
              <w:t>Expected counts</w:t>
            </w:r>
          </w:p>
        </w:tc>
        <w:tc>
          <w:tcPr>
            <w:tcW w:w="5102" w:type="dxa"/>
          </w:tcPr>
          <w:p w14:paraId="72E7BA46" w14:textId="77777777" w:rsidR="00C931F4" w:rsidRDefault="00000000">
            <w:pPr>
              <w:spacing w:before="60" w:after="60"/>
            </w:pPr>
            <w:r>
              <w:rPr>
                <w:sz w:val="19"/>
              </w:rPr>
              <w:t>What the table would look like with no association. All must be ≥ 5.</w:t>
            </w:r>
          </w:p>
        </w:tc>
        <w:tc>
          <w:tcPr>
            <w:tcW w:w="2154" w:type="dxa"/>
          </w:tcPr>
          <w:p w14:paraId="3EE20DE9" w14:textId="77777777" w:rsidR="00C931F4" w:rsidRDefault="00000000">
            <w:pPr>
              <w:spacing w:before="60" w:after="60"/>
            </w:pPr>
            <w:r>
              <w:rPr>
                <w:sz w:val="19"/>
              </w:rPr>
              <w:t>lowest is 17.0</w:t>
            </w:r>
          </w:p>
        </w:tc>
      </w:tr>
      <w:tr w:rsidR="00C931F4" w14:paraId="5AC49F51" w14:textId="77777777">
        <w:trPr>
          <w:jc w:val="center"/>
        </w:trPr>
        <w:tc>
          <w:tcPr>
            <w:tcW w:w="1928" w:type="dxa"/>
          </w:tcPr>
          <w:p w14:paraId="0667E996" w14:textId="77777777" w:rsidR="00C931F4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Cramer's V</w:t>
            </w:r>
          </w:p>
        </w:tc>
        <w:tc>
          <w:tcPr>
            <w:tcW w:w="5102" w:type="dxa"/>
          </w:tcPr>
          <w:p w14:paraId="5B78E51A" w14:textId="77777777" w:rsidR="00C931F4" w:rsidRDefault="00000000">
            <w:pPr>
              <w:spacing w:before="60" w:after="60"/>
            </w:pPr>
            <w:r>
              <w:rPr>
                <w:sz w:val="19"/>
              </w:rPr>
              <w:t>Effect size for a table this shape, printed next to df. For a 2×3 table: 0.07 small, 0.21 medium, 0.35+ large.</w:t>
            </w:r>
          </w:p>
        </w:tc>
        <w:tc>
          <w:tcPr>
            <w:tcW w:w="2154" w:type="dxa"/>
          </w:tcPr>
          <w:p w14:paraId="47F9F1F8" w14:textId="77777777" w:rsidR="00C931F4" w:rsidRDefault="00000000">
            <w:pPr>
              <w:spacing w:before="60" w:after="60"/>
            </w:pPr>
            <w:r>
              <w:rPr>
                <w:sz w:val="19"/>
              </w:rPr>
              <w:t>0.63 (large)</w:t>
            </w:r>
          </w:p>
        </w:tc>
      </w:tr>
    </w:tbl>
    <w:p w14:paraId="4420D9AA" w14:textId="77777777" w:rsidR="00C931F4" w:rsidRDefault="00C931F4">
      <w:pPr>
        <w:spacing w:after="40"/>
      </w:pPr>
    </w:p>
    <w:p w14:paraId="3F0B4082" w14:textId="77777777" w:rsidR="00FE443C" w:rsidRDefault="00FE443C">
      <w:pPr>
        <w:spacing w:after="40"/>
      </w:pPr>
    </w:p>
    <w:p w14:paraId="52366B30" w14:textId="77777777" w:rsidR="00FE443C" w:rsidRDefault="00FE443C">
      <w:pPr>
        <w:spacing w:after="4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381"/>
      </w:tblGrid>
      <w:tr w:rsidR="00C931F4" w14:paraId="4E827D3E" w14:textId="77777777">
        <w:trPr>
          <w:tblHeader/>
          <w:jc w:val="center"/>
        </w:trPr>
        <w:tc>
          <w:tcPr>
            <w:tcW w:w="2268" w:type="dxa"/>
            <w:shd w:val="clear" w:color="auto" w:fill="E8EFFC"/>
          </w:tcPr>
          <w:p w14:paraId="3B4B3689" w14:textId="77777777" w:rsidR="00C931F4" w:rsidRDefault="00000000">
            <w:pPr>
              <w:spacing w:before="60" w:after="60"/>
            </w:pPr>
            <w:r>
              <w:rPr>
                <w:b/>
                <w:sz w:val="19"/>
              </w:rPr>
              <w:lastRenderedPageBreak/>
              <w:t>Observed</w:t>
            </w:r>
          </w:p>
        </w:tc>
        <w:tc>
          <w:tcPr>
            <w:tcW w:w="2268" w:type="dxa"/>
            <w:shd w:val="clear" w:color="auto" w:fill="E8EFFC"/>
          </w:tcPr>
          <w:p w14:paraId="4F77EF33" w14:textId="77777777" w:rsidR="00C931F4" w:rsidRDefault="00000000">
            <w:pPr>
              <w:spacing w:before="60" w:after="60"/>
            </w:pPr>
            <w:r>
              <w:rPr>
                <w:rFonts w:ascii="Consolas" w:hAnsi="Consolas"/>
                <w:b/>
                <w:sz w:val="17"/>
              </w:rPr>
              <w:t>High</w:t>
            </w:r>
          </w:p>
        </w:tc>
        <w:tc>
          <w:tcPr>
            <w:tcW w:w="2268" w:type="dxa"/>
            <w:shd w:val="clear" w:color="auto" w:fill="E8EFFC"/>
          </w:tcPr>
          <w:p w14:paraId="472051AA" w14:textId="77777777" w:rsidR="00C931F4" w:rsidRDefault="00000000">
            <w:pPr>
              <w:spacing w:before="60" w:after="60"/>
            </w:pPr>
            <w:r>
              <w:rPr>
                <w:rFonts w:ascii="Consolas" w:hAnsi="Consolas"/>
                <w:b/>
                <w:sz w:val="17"/>
              </w:rPr>
              <w:t>Low</w:t>
            </w:r>
          </w:p>
        </w:tc>
        <w:tc>
          <w:tcPr>
            <w:tcW w:w="2381" w:type="dxa"/>
            <w:shd w:val="clear" w:color="auto" w:fill="E8EFFC"/>
          </w:tcPr>
          <w:p w14:paraId="3DE9D44E" w14:textId="77777777" w:rsidR="00C931F4" w:rsidRDefault="00000000">
            <w:pPr>
              <w:spacing w:before="60" w:after="60"/>
            </w:pPr>
            <w:r>
              <w:rPr>
                <w:rFonts w:ascii="Consolas" w:hAnsi="Consolas"/>
                <w:b/>
                <w:sz w:val="17"/>
              </w:rPr>
              <w:t>Moderate</w:t>
            </w:r>
          </w:p>
        </w:tc>
      </w:tr>
      <w:tr w:rsidR="00C931F4" w14:paraId="003AD993" w14:textId="77777777">
        <w:trPr>
          <w:jc w:val="center"/>
        </w:trPr>
        <w:tc>
          <w:tcPr>
            <w:tcW w:w="2268" w:type="dxa"/>
          </w:tcPr>
          <w:p w14:paraId="7F0B833E" w14:textId="77777777" w:rsidR="00C931F4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Control</w:t>
            </w:r>
          </w:p>
        </w:tc>
        <w:tc>
          <w:tcPr>
            <w:tcW w:w="2268" w:type="dxa"/>
          </w:tcPr>
          <w:p w14:paraId="77B6EBEA" w14:textId="77777777" w:rsidR="00C931F4" w:rsidRDefault="00000000">
            <w:pPr>
              <w:spacing w:before="60" w:after="60"/>
            </w:pPr>
            <w:r>
              <w:rPr>
                <w:sz w:val="19"/>
              </w:rPr>
              <w:t>31</w:t>
            </w:r>
          </w:p>
        </w:tc>
        <w:tc>
          <w:tcPr>
            <w:tcW w:w="2268" w:type="dxa"/>
          </w:tcPr>
          <w:p w14:paraId="3F855CBB" w14:textId="77777777" w:rsidR="00C931F4" w:rsidRDefault="00000000">
            <w:pPr>
              <w:spacing w:before="60" w:after="60"/>
            </w:pPr>
            <w:r>
              <w:rPr>
                <w:sz w:val="19"/>
              </w:rPr>
              <w:t>5</w:t>
            </w:r>
          </w:p>
        </w:tc>
        <w:tc>
          <w:tcPr>
            <w:tcW w:w="2381" w:type="dxa"/>
          </w:tcPr>
          <w:p w14:paraId="7A433AFC" w14:textId="77777777" w:rsidR="00C931F4" w:rsidRDefault="00000000">
            <w:pPr>
              <w:spacing w:before="60" w:after="60"/>
            </w:pPr>
            <w:r>
              <w:rPr>
                <w:sz w:val="19"/>
              </w:rPr>
              <w:t>24</w:t>
            </w:r>
          </w:p>
        </w:tc>
      </w:tr>
      <w:tr w:rsidR="00C931F4" w14:paraId="727B96FD" w14:textId="77777777">
        <w:trPr>
          <w:jc w:val="center"/>
        </w:trPr>
        <w:tc>
          <w:tcPr>
            <w:tcW w:w="2268" w:type="dxa"/>
          </w:tcPr>
          <w:p w14:paraId="6CB991D3" w14:textId="77777777" w:rsidR="00C931F4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Treatment</w:t>
            </w:r>
          </w:p>
        </w:tc>
        <w:tc>
          <w:tcPr>
            <w:tcW w:w="2268" w:type="dxa"/>
          </w:tcPr>
          <w:p w14:paraId="261C390D" w14:textId="77777777" w:rsidR="00C931F4" w:rsidRDefault="00000000">
            <w:pPr>
              <w:spacing w:before="60" w:after="60"/>
            </w:pPr>
            <w:r>
              <w:rPr>
                <w:sz w:val="19"/>
              </w:rPr>
              <w:t>3</w:t>
            </w:r>
          </w:p>
        </w:tc>
        <w:tc>
          <w:tcPr>
            <w:tcW w:w="2268" w:type="dxa"/>
          </w:tcPr>
          <w:p w14:paraId="23C57114" w14:textId="77777777" w:rsidR="00C931F4" w:rsidRDefault="00000000">
            <w:pPr>
              <w:spacing w:before="60" w:after="60"/>
            </w:pPr>
            <w:r>
              <w:rPr>
                <w:sz w:val="19"/>
              </w:rPr>
              <w:t>37</w:t>
            </w:r>
          </w:p>
        </w:tc>
        <w:tc>
          <w:tcPr>
            <w:tcW w:w="2381" w:type="dxa"/>
          </w:tcPr>
          <w:p w14:paraId="688FDF6F" w14:textId="77777777" w:rsidR="00C931F4" w:rsidRDefault="00000000">
            <w:pPr>
              <w:spacing w:before="60" w:after="60"/>
            </w:pPr>
            <w:r>
              <w:rPr>
                <w:sz w:val="19"/>
              </w:rPr>
              <w:t>20</w:t>
            </w:r>
          </w:p>
        </w:tc>
      </w:tr>
    </w:tbl>
    <w:p w14:paraId="0A5C56CF" w14:textId="77777777" w:rsidR="00C931F4" w:rsidRDefault="00C931F4">
      <w:pPr>
        <w:spacing w:after="40"/>
      </w:pPr>
    </w:p>
    <w:p w14:paraId="137AF016" w14:textId="77777777" w:rsidR="00C931F4" w:rsidRDefault="00000000">
      <w:pPr>
        <w:pStyle w:val="Heading3"/>
      </w:pPr>
      <w:r>
        <w:t>Writing it up</w:t>
      </w:r>
    </w:p>
    <w:p w14:paraId="6E5927E6" w14:textId="77777777" w:rsidR="00C931F4" w:rsidRDefault="00000000">
      <w:r>
        <w:t>“Final stress band was significantly associated with study arm, χ²(2, N = 120) = 47.80, p &lt; .001, Cramer's V = 0.63. Most control participants finished in the high band (31 of 60), while most treatment participants finished in the low band (37 of 60).”</w:t>
      </w:r>
    </w:p>
    <w:p w14:paraId="6D5C8D53" w14:textId="77777777" w:rsidR="00C931F4" w:rsidRDefault="00000000">
      <w:r>
        <w:rPr>
          <w:color w:val="5B6471"/>
          <w:sz w:val="20"/>
        </w:rPr>
        <w:t xml:space="preserve">Chi-square tells you the table is uneven; it does not tell you </w:t>
      </w:r>
      <w:r>
        <w:rPr>
          <w:b/>
          <w:color w:val="5B6471"/>
          <w:sz w:val="20"/>
        </w:rPr>
        <w:t>which cell</w:t>
      </w:r>
      <w:r>
        <w:rPr>
          <w:color w:val="5B6471"/>
          <w:sz w:val="20"/>
        </w:rPr>
        <w:t xml:space="preserve"> is responsible. Quote the counts, as above, so the reader can see where the association lives.</w:t>
      </w:r>
    </w:p>
    <w:p w14:paraId="12A6A337" w14:textId="77777777" w:rsidR="00C931F4" w:rsidRDefault="00000000">
      <w:pPr>
        <w:pStyle w:val="Heading2"/>
      </w:pPr>
      <w:r>
        <w:t>6.  Now try it yourself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628"/>
        <w:gridCol w:w="5556"/>
      </w:tblGrid>
      <w:tr w:rsidR="00C931F4" w14:paraId="21935BA5" w14:textId="77777777">
        <w:trPr>
          <w:tblHeader/>
          <w:jc w:val="center"/>
        </w:trPr>
        <w:tc>
          <w:tcPr>
            <w:tcW w:w="3628" w:type="dxa"/>
            <w:shd w:val="clear" w:color="auto" w:fill="E8EFFC"/>
          </w:tcPr>
          <w:p w14:paraId="1DD0246A" w14:textId="77777777" w:rsidR="00C931F4" w:rsidRDefault="00000000">
            <w:pPr>
              <w:spacing w:before="60" w:after="60"/>
            </w:pPr>
            <w:r>
              <w:rPr>
                <w:rFonts w:ascii="Consolas" w:hAnsi="Consolas"/>
                <w:b/>
                <w:sz w:val="17"/>
              </w:rPr>
              <w:t>Variable 1</w:t>
            </w:r>
            <w:r>
              <w:rPr>
                <w:b/>
                <w:sz w:val="19"/>
              </w:rPr>
              <w:t xml:space="preserve"> vs </w:t>
            </w:r>
            <w:r>
              <w:rPr>
                <w:rFonts w:ascii="Consolas" w:hAnsi="Consolas"/>
                <w:b/>
                <w:sz w:val="17"/>
              </w:rPr>
              <w:t>Variable 2</w:t>
            </w:r>
          </w:p>
        </w:tc>
        <w:tc>
          <w:tcPr>
            <w:tcW w:w="5556" w:type="dxa"/>
            <w:shd w:val="clear" w:color="auto" w:fill="E8EFFC"/>
          </w:tcPr>
          <w:p w14:paraId="5511A929" w14:textId="77777777" w:rsidR="00C931F4" w:rsidRDefault="00000000">
            <w:pPr>
              <w:spacing w:before="60" w:after="60"/>
            </w:pPr>
            <w:r>
              <w:rPr>
                <w:b/>
                <w:sz w:val="19"/>
              </w:rPr>
              <w:t>The question you are asking</w:t>
            </w:r>
          </w:p>
        </w:tc>
      </w:tr>
      <w:tr w:rsidR="00C931F4" w14:paraId="43BB3860" w14:textId="77777777">
        <w:trPr>
          <w:jc w:val="center"/>
        </w:trPr>
        <w:tc>
          <w:tcPr>
            <w:tcW w:w="3628" w:type="dxa"/>
          </w:tcPr>
          <w:p w14:paraId="2D2F82F0" w14:textId="77777777" w:rsidR="00C931F4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gender</w:t>
            </w:r>
            <w:r>
              <w:rPr>
                <w:sz w:val="19"/>
              </w:rPr>
              <w:t xml:space="preserve"> vs </w:t>
            </w:r>
            <w:r>
              <w:rPr>
                <w:rFonts w:ascii="Consolas" w:hAnsi="Consolas"/>
                <w:sz w:val="17"/>
              </w:rPr>
              <w:t>stress_band_post</w:t>
            </w:r>
          </w:p>
        </w:tc>
        <w:tc>
          <w:tcPr>
            <w:tcW w:w="5556" w:type="dxa"/>
          </w:tcPr>
          <w:p w14:paraId="12BEFB4B" w14:textId="77777777" w:rsidR="00C931F4" w:rsidRDefault="00000000">
            <w:pPr>
              <w:spacing w:before="60" w:after="60"/>
            </w:pPr>
            <w:r>
              <w:rPr>
                <w:sz w:val="19"/>
              </w:rPr>
              <w:t>Did men and women end up in different bands?</w:t>
            </w:r>
          </w:p>
        </w:tc>
      </w:tr>
      <w:tr w:rsidR="00C931F4" w14:paraId="682B74EC" w14:textId="77777777">
        <w:trPr>
          <w:jc w:val="center"/>
        </w:trPr>
        <w:tc>
          <w:tcPr>
            <w:tcW w:w="3628" w:type="dxa"/>
          </w:tcPr>
          <w:p w14:paraId="006E8356" w14:textId="77777777" w:rsidR="00C931F4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smoker</w:t>
            </w:r>
            <w:r>
              <w:rPr>
                <w:sz w:val="19"/>
              </w:rPr>
              <w:t xml:space="preserve"> vs </w:t>
            </w:r>
            <w:r>
              <w:rPr>
                <w:rFonts w:ascii="Consolas" w:hAnsi="Consolas"/>
                <w:sz w:val="17"/>
              </w:rPr>
              <w:t>stress_band_post</w:t>
            </w:r>
          </w:p>
        </w:tc>
        <w:tc>
          <w:tcPr>
            <w:tcW w:w="5556" w:type="dxa"/>
          </w:tcPr>
          <w:p w14:paraId="2AB12028" w14:textId="77777777" w:rsidR="00C931F4" w:rsidRDefault="00000000">
            <w:pPr>
              <w:spacing w:before="60" w:after="60"/>
            </w:pPr>
            <w:r>
              <w:rPr>
                <w:sz w:val="19"/>
              </w:rPr>
              <w:t>Were smokers more likely to finish highly stressed?</w:t>
            </w:r>
          </w:p>
        </w:tc>
      </w:tr>
      <w:tr w:rsidR="00C931F4" w14:paraId="06E15249" w14:textId="77777777">
        <w:trPr>
          <w:jc w:val="center"/>
        </w:trPr>
        <w:tc>
          <w:tcPr>
            <w:tcW w:w="3628" w:type="dxa"/>
          </w:tcPr>
          <w:p w14:paraId="663177A2" w14:textId="77777777" w:rsidR="00C931F4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group</w:t>
            </w:r>
            <w:r>
              <w:rPr>
                <w:sz w:val="19"/>
              </w:rPr>
              <w:t xml:space="preserve"> vs </w:t>
            </w:r>
            <w:r>
              <w:rPr>
                <w:rFonts w:ascii="Consolas" w:hAnsi="Consolas"/>
                <w:sz w:val="17"/>
              </w:rPr>
              <w:t>improved</w:t>
            </w:r>
          </w:p>
        </w:tc>
        <w:tc>
          <w:tcPr>
            <w:tcW w:w="5556" w:type="dxa"/>
          </w:tcPr>
          <w:p w14:paraId="12C767AF" w14:textId="77777777" w:rsidR="00C931F4" w:rsidRDefault="00000000">
            <w:pPr>
              <w:spacing w:before="60" w:after="60"/>
            </w:pPr>
            <w:r>
              <w:rPr>
                <w:sz w:val="19"/>
              </w:rPr>
              <w:t>A 2×2 table — does the Yates correction option now apply?</w:t>
            </w:r>
          </w:p>
        </w:tc>
      </w:tr>
      <w:tr w:rsidR="00C931F4" w14:paraId="3620FC3E" w14:textId="77777777">
        <w:trPr>
          <w:jc w:val="center"/>
        </w:trPr>
        <w:tc>
          <w:tcPr>
            <w:tcW w:w="3628" w:type="dxa"/>
          </w:tcPr>
          <w:p w14:paraId="0D1E665B" w14:textId="77777777" w:rsidR="00C931F4" w:rsidRDefault="00000000">
            <w:pPr>
              <w:spacing w:before="60" w:after="60"/>
            </w:pPr>
            <w:r>
              <w:rPr>
                <w:rFonts w:ascii="Consolas" w:hAnsi="Consolas"/>
                <w:sz w:val="17"/>
              </w:rPr>
              <w:t>gender</w:t>
            </w:r>
            <w:r>
              <w:rPr>
                <w:sz w:val="19"/>
              </w:rPr>
              <w:t xml:space="preserve"> vs </w:t>
            </w:r>
            <w:r>
              <w:rPr>
                <w:rFonts w:ascii="Consolas" w:hAnsi="Consolas"/>
                <w:sz w:val="17"/>
              </w:rPr>
              <w:t>smoker</w:t>
            </w:r>
          </w:p>
        </w:tc>
        <w:tc>
          <w:tcPr>
            <w:tcW w:w="5556" w:type="dxa"/>
          </w:tcPr>
          <w:p w14:paraId="62496E7F" w14:textId="77777777" w:rsidR="00C931F4" w:rsidRDefault="00000000">
            <w:pPr>
              <w:spacing w:before="60" w:after="60"/>
            </w:pPr>
            <w:r>
              <w:rPr>
                <w:sz w:val="19"/>
              </w:rPr>
              <w:t>Two background variables, with no reason to be related.</w:t>
            </w:r>
          </w:p>
        </w:tc>
      </w:tr>
    </w:tbl>
    <w:p w14:paraId="2A79A4E6" w14:textId="77777777" w:rsidR="00C931F4" w:rsidRDefault="00C931F4">
      <w:pPr>
        <w:spacing w:after="40"/>
      </w:pPr>
    </w:p>
    <w:p w14:paraId="17B7E53F" w14:textId="77777777" w:rsidR="00C931F4" w:rsidRDefault="00000000">
      <w:r>
        <w:t>Two things to notice:</w:t>
      </w:r>
    </w:p>
    <w:p w14:paraId="04E265A0" w14:textId="77777777" w:rsidR="00C931F4" w:rsidRDefault="00000000">
      <w:pPr>
        <w:pStyle w:val="ListBullet"/>
        <w:spacing w:after="60"/>
      </w:pPr>
      <w:r>
        <w:rPr>
          <w:b/>
        </w:rPr>
        <w:t>Most of these come out non-significant.</w:t>
      </w:r>
      <w:r>
        <w:t xml:space="preserve"> Chi-square finds associations when they exist; a non-significant table is not a failed analysis.</w:t>
      </w:r>
    </w:p>
    <w:p w14:paraId="7C616664" w14:textId="77777777" w:rsidR="00C931F4" w:rsidRDefault="00000000">
      <w:pPr>
        <w:pStyle w:val="ListBullet"/>
        <w:spacing w:after="180"/>
      </w:pPr>
      <w:r>
        <w:rPr>
          <w:b/>
        </w:rPr>
        <w:t>Watch the expected counts on the smaller tables.</w:t>
      </w:r>
      <w:r>
        <w:t xml:space="preserve"> If any drops below 5, the output will say so, and Fisher's exact test is the right test instead.</w:t>
      </w:r>
    </w:p>
    <w:sectPr w:rsidR="00C931F4" w:rsidSect="00034616">
      <w:footerReference w:type="default" r:id="rId11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7E49D3" w14:textId="77777777" w:rsidR="00D71BA5" w:rsidRDefault="00D71BA5">
      <w:pPr>
        <w:spacing w:after="0" w:line="240" w:lineRule="auto"/>
      </w:pPr>
      <w:r>
        <w:separator/>
      </w:r>
    </w:p>
  </w:endnote>
  <w:endnote w:type="continuationSeparator" w:id="0">
    <w:p w14:paraId="1B6282A8" w14:textId="77777777" w:rsidR="00D71BA5" w:rsidRDefault="00D71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AB6EA3" w14:textId="77777777" w:rsidR="00C931F4" w:rsidRDefault="00000000">
    <w:pPr>
      <w:pStyle w:val="Footer"/>
      <w:jc w:val="center"/>
    </w:pPr>
    <w:r>
      <w:rPr>
        <w:color w:val="5B6471"/>
        <w:sz w:val="16"/>
      </w:rPr>
      <w:t xml:space="preserve">Plotara teaching </w:t>
    </w:r>
    <w:proofErr w:type="gramStart"/>
    <w:r>
      <w:rPr>
        <w:color w:val="5B6471"/>
        <w:sz w:val="16"/>
      </w:rPr>
      <w:t>series  |</w:t>
    </w:r>
    <w:proofErr w:type="gramEnd"/>
    <w:r>
      <w:rPr>
        <w:color w:val="5B6471"/>
        <w:sz w:val="16"/>
      </w:rPr>
      <w:t xml:space="preserve">  Chi-square test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212FAD" w14:textId="77777777" w:rsidR="00D71BA5" w:rsidRDefault="00D71BA5">
      <w:pPr>
        <w:spacing w:after="0" w:line="240" w:lineRule="auto"/>
      </w:pPr>
      <w:r>
        <w:separator/>
      </w:r>
    </w:p>
  </w:footnote>
  <w:footnote w:type="continuationSeparator" w:id="0">
    <w:p w14:paraId="4B257DD1" w14:textId="77777777" w:rsidR="00D71BA5" w:rsidRDefault="00D71B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14114848">
    <w:abstractNumId w:val="8"/>
  </w:num>
  <w:num w:numId="2" w16cid:durableId="87506300">
    <w:abstractNumId w:val="6"/>
  </w:num>
  <w:num w:numId="3" w16cid:durableId="1705978979">
    <w:abstractNumId w:val="5"/>
  </w:num>
  <w:num w:numId="4" w16cid:durableId="298732664">
    <w:abstractNumId w:val="4"/>
  </w:num>
  <w:num w:numId="5" w16cid:durableId="1772434699">
    <w:abstractNumId w:val="7"/>
  </w:num>
  <w:num w:numId="6" w16cid:durableId="2131895923">
    <w:abstractNumId w:val="3"/>
  </w:num>
  <w:num w:numId="7" w16cid:durableId="1924604478">
    <w:abstractNumId w:val="2"/>
  </w:num>
  <w:num w:numId="8" w16cid:durableId="253588921">
    <w:abstractNumId w:val="1"/>
  </w:num>
  <w:num w:numId="9" w16cid:durableId="1410038870">
    <w:abstractNumId w:val="0"/>
  </w:num>
  <w:num w:numId="10" w16cid:durableId="1460605589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1FEB"/>
    <w:rsid w:val="00034616"/>
    <w:rsid w:val="0006063C"/>
    <w:rsid w:val="0015074B"/>
    <w:rsid w:val="0029639D"/>
    <w:rsid w:val="003053C1"/>
    <w:rsid w:val="00326F90"/>
    <w:rsid w:val="00556079"/>
    <w:rsid w:val="00815C68"/>
    <w:rsid w:val="00AA1D8D"/>
    <w:rsid w:val="00B47730"/>
    <w:rsid w:val="00BB3971"/>
    <w:rsid w:val="00C931F4"/>
    <w:rsid w:val="00CB0664"/>
    <w:rsid w:val="00D71BA5"/>
    <w:rsid w:val="00FC693F"/>
    <w:rsid w:val="00FE4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D511E3"/>
  <w14:defaultImageDpi w14:val="300"/>
  <w15:docId w15:val="{2475ADDB-0DCC-0E4D-A588-17E062BFC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Calibri" w:hAnsi="Calibri"/>
      <w:color w:val="1F242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0"/>
      <w:outlineLvl w:val="0"/>
    </w:pPr>
    <w:rPr>
      <w:rFonts w:asciiTheme="majorHAnsi" w:eastAsiaTheme="majorEastAsia" w:hAnsiTheme="majorHAnsi" w:cstheme="majorBidi"/>
      <w:b/>
      <w:bCs/>
      <w:color w:val="3B6FD4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Theme="majorHAnsi" w:eastAsiaTheme="majorEastAsia" w:hAnsiTheme="majorHAnsi" w:cstheme="majorBidi"/>
      <w:b/>
      <w:bCs/>
      <w:color w:val="3B6FD4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Theme="majorHAnsi" w:eastAsiaTheme="majorEastAsia" w:hAnsiTheme="majorHAnsi" w:cstheme="majorBidi"/>
      <w:b/>
      <w:bCs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693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Rebecca Jane Jones</cp:lastModifiedBy>
  <cp:revision>3</cp:revision>
  <dcterms:created xsi:type="dcterms:W3CDTF">2013-12-23T23:15:00Z</dcterms:created>
  <dcterms:modified xsi:type="dcterms:W3CDTF">2026-07-31T11:21:00Z</dcterms:modified>
  <cp:category/>
</cp:coreProperties>
</file>