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FFD0E3" w14:textId="77777777" w:rsidR="00021E46" w:rsidRDefault="00000000">
      <w:pPr>
        <w:spacing w:after="40"/>
      </w:pPr>
      <w:r>
        <w:rPr>
          <w:b/>
          <w:color w:val="3B6FD4"/>
          <w:sz w:val="19"/>
        </w:rPr>
        <w:t>PLOTARA TEACHING SERIES  ·  GUIDE 5</w:t>
      </w:r>
    </w:p>
    <w:p w14:paraId="38FD866E" w14:textId="77777777" w:rsidR="00021E46" w:rsidRDefault="00000000">
      <w:pPr>
        <w:spacing w:after="80"/>
      </w:pPr>
      <w:r>
        <w:rPr>
          <w:b/>
          <w:sz w:val="52"/>
        </w:rPr>
        <w:t>One-Way and Two-Way ANOVA</w:t>
      </w:r>
    </w:p>
    <w:p w14:paraId="711B0E5D" w14:textId="77777777" w:rsidR="00021E46" w:rsidRDefault="00000000">
      <w:pPr>
        <w:spacing w:after="200"/>
      </w:pPr>
      <w:r>
        <w:rPr>
          <w:color w:val="5B6471"/>
          <w:sz w:val="24"/>
        </w:rPr>
        <w:t>ANOVA, part 2 of 3 — comparing three or more groups</w:t>
      </w:r>
    </w:p>
    <w:p w14:paraId="3602EEE9" w14:textId="77777777" w:rsidR="00021E46" w:rsidRDefault="00021E46">
      <w:pPr>
        <w:pBdr>
          <w:bottom w:val="single" w:sz="6" w:space="6" w:color="D6DCE6"/>
        </w:pBdr>
        <w:spacing w:before="40" w:after="40"/>
      </w:pPr>
    </w:p>
    <w:p w14:paraId="2994347E" w14:textId="6218AB0C" w:rsidR="00021E46" w:rsidRPr="000D5E9A" w:rsidRDefault="00000000">
      <w:pPr>
        <w:spacing w:after="40"/>
        <w:rPr>
          <w:lang w:val="it-CH"/>
        </w:rPr>
      </w:pPr>
      <w:r w:rsidRPr="000D5E9A">
        <w:rPr>
          <w:b/>
          <w:sz w:val="19"/>
          <w:lang w:val="it-CH"/>
        </w:rPr>
        <w:t xml:space="preserve">Dataset:  </w:t>
      </w:r>
      <w:r w:rsidR="000D5E9A" w:rsidRPr="000D5E9A">
        <w:rPr>
          <w:color w:val="5B6471"/>
          <w:sz w:val="19"/>
          <w:lang w:val="it-CH"/>
        </w:rPr>
        <w:t>Dataset_2_Neuron_study</w:t>
      </w:r>
      <w:r w:rsidRPr="000D5E9A">
        <w:rPr>
          <w:color w:val="5B6471"/>
          <w:sz w:val="19"/>
          <w:lang w:val="it-CH"/>
        </w:rPr>
        <w:t>.csv</w:t>
      </w:r>
    </w:p>
    <w:p w14:paraId="35AE8311" w14:textId="77777777" w:rsidR="00021E46" w:rsidRPr="000D5E9A" w:rsidRDefault="00021E46">
      <w:pPr>
        <w:spacing w:after="80"/>
        <w:rPr>
          <w:lang w:val="it-CH"/>
        </w:rPr>
      </w:pPr>
    </w:p>
    <w:p w14:paraId="02E6ECFC" w14:textId="77777777" w:rsidR="00021E46" w:rsidRDefault="00000000">
      <w:pPr>
        <w:pStyle w:val="Heading2"/>
      </w:pPr>
      <w:r w:rsidRPr="000D5E9A">
        <w:rPr>
          <w:lang w:val="it-CH"/>
        </w:rPr>
        <w:t xml:space="preserve">1.  </w:t>
      </w:r>
      <w:r>
        <w:t>The data</w:t>
      </w:r>
    </w:p>
    <w:p w14:paraId="701E2FCC" w14:textId="3D2BF7BA" w:rsidR="00021E46" w:rsidRDefault="00000000">
      <w:r>
        <w:t xml:space="preserve">Researchers recorded </w:t>
      </w:r>
      <w:r>
        <w:rPr>
          <w:b/>
        </w:rPr>
        <w:t>180 individual neurons</w:t>
      </w:r>
      <w:r>
        <w:t xml:space="preserve"> from mice — 90 normal (</w:t>
      </w:r>
      <w:r>
        <w:rPr>
          <w:rFonts w:ascii="Consolas" w:hAnsi="Consolas"/>
          <w:sz w:val="20"/>
        </w:rPr>
        <w:t>WT</w:t>
      </w:r>
      <w:r>
        <w:t xml:space="preserve">) and 90 carrying a </w:t>
      </w:r>
      <w:r>
        <w:rPr>
          <w:rFonts w:ascii="Consolas" w:hAnsi="Consolas"/>
          <w:sz w:val="20"/>
        </w:rPr>
        <w:t>Shank3-KO</w:t>
      </w:r>
      <w:r>
        <w:t xml:space="preserve"> genetic knockout, half of each given a drug and half a placebo. Every neuron was recorded once, so </w:t>
      </w:r>
      <w:r w:rsidR="000D5E9A" w:rsidRPr="000D5E9A">
        <w:rPr>
          <w:rFonts w:ascii="Consolas" w:hAnsi="Consolas"/>
          <w:sz w:val="20"/>
        </w:rPr>
        <w:t>Dataset_2_Neuron_study</w:t>
      </w:r>
      <w:r>
        <w:rPr>
          <w:rFonts w:ascii="Consolas" w:hAnsi="Consolas"/>
          <w:sz w:val="20"/>
        </w:rPr>
        <w:t>.csv</w:t>
      </w:r>
      <w:r>
        <w:t xml:space="preserve"> has </w:t>
      </w:r>
      <w:r>
        <w:rPr>
          <w:b/>
        </w:rPr>
        <w:t>one row per neuron</w:t>
      </w:r>
      <w:r>
        <w:t>.</w:t>
      </w:r>
    </w:p>
    <w:p w14:paraId="511CA46A" w14:textId="77777777" w:rsidR="00021E46" w:rsidRDefault="00000000">
      <w:r>
        <w:t>Guide 4 checks this dataset's assumptions and finds them sound, so we can go straight to the test. If you have not read it, run the two checks it describes before trusting anything below.</w:t>
      </w:r>
    </w:p>
    <w:tbl>
      <w:tblPr>
        <w:tblStyle w:val="TableGrid"/>
        <w:tblW w:w="0" w:type="auto"/>
        <w:jc w:val="center"/>
        <w:tblLook w:val="04A0" w:firstRow="1" w:lastRow="0" w:firstColumn="1" w:lastColumn="0" w:noHBand="0" w:noVBand="1"/>
      </w:tblPr>
      <w:tblGrid>
        <w:gridCol w:w="2268"/>
        <w:gridCol w:w="6917"/>
      </w:tblGrid>
      <w:tr w:rsidR="00021E46" w14:paraId="64B03029" w14:textId="77777777">
        <w:trPr>
          <w:tblHeader/>
          <w:jc w:val="center"/>
        </w:trPr>
        <w:tc>
          <w:tcPr>
            <w:tcW w:w="2268" w:type="dxa"/>
            <w:shd w:val="clear" w:color="auto" w:fill="E8EFFC"/>
          </w:tcPr>
          <w:p w14:paraId="52DC584A" w14:textId="77777777" w:rsidR="00021E46" w:rsidRDefault="00000000">
            <w:pPr>
              <w:spacing w:before="60" w:after="60"/>
            </w:pPr>
            <w:r>
              <w:rPr>
                <w:b/>
                <w:sz w:val="19"/>
              </w:rPr>
              <w:t>Column</w:t>
            </w:r>
          </w:p>
        </w:tc>
        <w:tc>
          <w:tcPr>
            <w:tcW w:w="6917" w:type="dxa"/>
            <w:shd w:val="clear" w:color="auto" w:fill="E8EFFC"/>
          </w:tcPr>
          <w:p w14:paraId="6A33EA4B" w14:textId="77777777" w:rsidR="00021E46" w:rsidRDefault="00000000">
            <w:pPr>
              <w:spacing w:before="60" w:after="60"/>
            </w:pPr>
            <w:r>
              <w:rPr>
                <w:b/>
                <w:sz w:val="19"/>
              </w:rPr>
              <w:t>What it is</w:t>
            </w:r>
          </w:p>
        </w:tc>
      </w:tr>
      <w:tr w:rsidR="00021E46" w14:paraId="0E29677C" w14:textId="77777777">
        <w:trPr>
          <w:jc w:val="center"/>
        </w:trPr>
        <w:tc>
          <w:tcPr>
            <w:tcW w:w="2268" w:type="dxa"/>
          </w:tcPr>
          <w:p w14:paraId="56348AD5" w14:textId="77777777" w:rsidR="00021E46" w:rsidRDefault="00000000">
            <w:pPr>
              <w:spacing w:before="60" w:after="60"/>
            </w:pPr>
            <w:r>
              <w:rPr>
                <w:rFonts w:ascii="Consolas" w:hAnsi="Consolas"/>
                <w:sz w:val="17"/>
              </w:rPr>
              <w:t>FiringRate_Hz</w:t>
            </w:r>
          </w:p>
        </w:tc>
        <w:tc>
          <w:tcPr>
            <w:tcW w:w="6917" w:type="dxa"/>
          </w:tcPr>
          <w:p w14:paraId="38BEE379" w14:textId="77777777" w:rsidR="00021E46" w:rsidRDefault="00000000">
            <w:pPr>
              <w:spacing w:before="60" w:after="60"/>
            </w:pPr>
            <w:r>
              <w:rPr>
                <w:sz w:val="19"/>
              </w:rPr>
              <w:t>How many times per second the neuron fired — the outcome.</w:t>
            </w:r>
          </w:p>
        </w:tc>
      </w:tr>
      <w:tr w:rsidR="00021E46" w14:paraId="3ACC8AF8" w14:textId="77777777">
        <w:trPr>
          <w:jc w:val="center"/>
        </w:trPr>
        <w:tc>
          <w:tcPr>
            <w:tcW w:w="2268" w:type="dxa"/>
          </w:tcPr>
          <w:p w14:paraId="6573C14F" w14:textId="77777777" w:rsidR="00021E46" w:rsidRDefault="00000000">
            <w:pPr>
              <w:spacing w:before="60" w:after="60"/>
            </w:pPr>
            <w:r>
              <w:rPr>
                <w:rFonts w:ascii="Consolas" w:hAnsi="Consolas"/>
                <w:sz w:val="17"/>
              </w:rPr>
              <w:t>BrainRegion</w:t>
            </w:r>
          </w:p>
        </w:tc>
        <w:tc>
          <w:tcPr>
            <w:tcW w:w="6917" w:type="dxa"/>
          </w:tcPr>
          <w:p w14:paraId="24CBD58F" w14:textId="77777777" w:rsidR="00021E46" w:rsidRDefault="00000000">
            <w:pPr>
              <w:spacing w:before="60" w:after="60"/>
            </w:pPr>
            <w:r>
              <w:rPr>
                <w:sz w:val="19"/>
              </w:rPr>
              <w:t xml:space="preserve">Three regions: </w:t>
            </w:r>
            <w:r>
              <w:rPr>
                <w:rFonts w:ascii="Consolas" w:hAnsi="Consolas"/>
                <w:sz w:val="17"/>
              </w:rPr>
              <w:t>Hippocampus</w:t>
            </w:r>
            <w:r>
              <w:rPr>
                <w:sz w:val="19"/>
              </w:rPr>
              <w:t xml:space="preserve">, </w:t>
            </w:r>
            <w:r>
              <w:rPr>
                <w:rFonts w:ascii="Consolas" w:hAnsi="Consolas"/>
                <w:sz w:val="17"/>
              </w:rPr>
              <w:t>PrefrontalCortex</w:t>
            </w:r>
            <w:r>
              <w:rPr>
                <w:sz w:val="19"/>
              </w:rPr>
              <w:t xml:space="preserve">, </w:t>
            </w:r>
            <w:r>
              <w:rPr>
                <w:rFonts w:ascii="Consolas" w:hAnsi="Consolas"/>
                <w:sz w:val="17"/>
              </w:rPr>
              <w:t>Amygdala</w:t>
            </w:r>
            <w:r>
              <w:rPr>
                <w:sz w:val="19"/>
              </w:rPr>
              <w:t>.</w:t>
            </w:r>
          </w:p>
        </w:tc>
      </w:tr>
      <w:tr w:rsidR="00021E46" w14:paraId="55E3A6D8" w14:textId="77777777">
        <w:trPr>
          <w:jc w:val="center"/>
        </w:trPr>
        <w:tc>
          <w:tcPr>
            <w:tcW w:w="2268" w:type="dxa"/>
          </w:tcPr>
          <w:p w14:paraId="53FC1287" w14:textId="77777777" w:rsidR="00021E46" w:rsidRDefault="00000000">
            <w:pPr>
              <w:spacing w:before="60" w:after="60"/>
            </w:pPr>
            <w:r>
              <w:rPr>
                <w:rFonts w:ascii="Consolas" w:hAnsi="Consolas"/>
                <w:sz w:val="17"/>
              </w:rPr>
              <w:t>Genotype</w:t>
            </w:r>
          </w:p>
        </w:tc>
        <w:tc>
          <w:tcPr>
            <w:tcW w:w="6917" w:type="dxa"/>
          </w:tcPr>
          <w:p w14:paraId="085F94FF" w14:textId="77777777" w:rsidR="00021E46" w:rsidRDefault="00000000">
            <w:pPr>
              <w:spacing w:before="60" w:after="60"/>
            </w:pPr>
            <w:r>
              <w:rPr>
                <w:rFonts w:ascii="Consolas" w:hAnsi="Consolas"/>
                <w:sz w:val="17"/>
              </w:rPr>
              <w:t>WT</w:t>
            </w:r>
            <w:r>
              <w:rPr>
                <w:sz w:val="19"/>
              </w:rPr>
              <w:t xml:space="preserve"> (normal) or </w:t>
            </w:r>
            <w:r>
              <w:rPr>
                <w:rFonts w:ascii="Consolas" w:hAnsi="Consolas"/>
                <w:sz w:val="17"/>
              </w:rPr>
              <w:t>Shank3-KO</w:t>
            </w:r>
            <w:r>
              <w:rPr>
                <w:sz w:val="19"/>
              </w:rPr>
              <w:t xml:space="preserve"> (the gene knocked out).</w:t>
            </w:r>
          </w:p>
        </w:tc>
      </w:tr>
      <w:tr w:rsidR="00021E46" w14:paraId="01A2E681" w14:textId="77777777">
        <w:trPr>
          <w:jc w:val="center"/>
        </w:trPr>
        <w:tc>
          <w:tcPr>
            <w:tcW w:w="2268" w:type="dxa"/>
          </w:tcPr>
          <w:p w14:paraId="19848CC1" w14:textId="77777777" w:rsidR="00021E46" w:rsidRDefault="00000000">
            <w:pPr>
              <w:spacing w:before="60" w:after="60"/>
            </w:pPr>
            <w:r>
              <w:rPr>
                <w:rFonts w:ascii="Consolas" w:hAnsi="Consolas"/>
                <w:sz w:val="17"/>
              </w:rPr>
              <w:t>Treatment</w:t>
            </w:r>
          </w:p>
        </w:tc>
        <w:tc>
          <w:tcPr>
            <w:tcW w:w="6917" w:type="dxa"/>
          </w:tcPr>
          <w:p w14:paraId="0D188B41" w14:textId="77777777" w:rsidR="00021E46" w:rsidRDefault="00000000">
            <w:pPr>
              <w:spacing w:before="60" w:after="60"/>
            </w:pPr>
            <w:r>
              <w:rPr>
                <w:rFonts w:ascii="Consolas" w:hAnsi="Consolas"/>
                <w:sz w:val="17"/>
              </w:rPr>
              <w:t>Vehicle</w:t>
            </w:r>
            <w:r>
              <w:rPr>
                <w:sz w:val="19"/>
              </w:rPr>
              <w:t xml:space="preserve"> (an inactive placebo injection) or </w:t>
            </w:r>
            <w:r>
              <w:rPr>
                <w:rFonts w:ascii="Consolas" w:hAnsi="Consolas"/>
                <w:sz w:val="17"/>
              </w:rPr>
              <w:t>Drug</w:t>
            </w:r>
            <w:r>
              <w:rPr>
                <w:sz w:val="19"/>
              </w:rPr>
              <w:t>.</w:t>
            </w:r>
          </w:p>
        </w:tc>
      </w:tr>
    </w:tbl>
    <w:p w14:paraId="61718494" w14:textId="77777777" w:rsidR="00021E46" w:rsidRDefault="00021E46">
      <w:pPr>
        <w:spacing w:after="40"/>
      </w:pPr>
    </w:p>
    <w:p w14:paraId="5AF817ED" w14:textId="77777777" w:rsidR="00021E46" w:rsidRDefault="00000000">
      <w:pPr>
        <w:pStyle w:val="Heading2"/>
      </w:pPr>
      <w:r>
        <w:t>2.  The question</w:t>
      </w:r>
    </w:p>
    <w:p w14:paraId="7ABAD58E" w14:textId="77777777" w:rsidR="00021E46" w:rsidRDefault="00000000">
      <w:r>
        <w:rPr>
          <w:b/>
        </w:rPr>
        <w:t>Does firing rate differ between the three brain regions?</w:t>
      </w:r>
      <w:r>
        <w:t xml:space="preserve"> Look first:</w:t>
      </w:r>
    </w:p>
    <w:p w14:paraId="6C9FAF74" w14:textId="77777777" w:rsidR="00021E46" w:rsidRDefault="00000000">
      <w:pPr>
        <w:pStyle w:val="ListNumber"/>
        <w:spacing w:after="60"/>
      </w:pPr>
      <w:r>
        <w:rPr>
          <w:rFonts w:ascii="Consolas" w:hAnsi="Consolas"/>
          <w:sz w:val="20"/>
        </w:rPr>
        <w:t>Plotting</w:t>
      </w:r>
      <w:r>
        <w:t xml:space="preserve"> tab → </w:t>
      </w:r>
      <w:r>
        <w:rPr>
          <w:rFonts w:ascii="Consolas" w:hAnsi="Consolas"/>
          <w:sz w:val="20"/>
        </w:rPr>
        <w:t>Box Plot</w:t>
      </w:r>
      <w:r>
        <w:t>.</w:t>
      </w:r>
    </w:p>
    <w:p w14:paraId="451AF38B" w14:textId="0178DF81" w:rsidR="00021E46" w:rsidRDefault="008E2B69">
      <w:pPr>
        <w:pStyle w:val="ListNumber"/>
        <w:spacing w:after="180"/>
      </w:pPr>
      <w:r>
        <w:rPr>
          <w:noProof/>
        </w:rPr>
        <w:drawing>
          <wp:anchor distT="0" distB="0" distL="114300" distR="114300" simplePos="0" relativeHeight="251658240" behindDoc="0" locked="0" layoutInCell="1" allowOverlap="1" wp14:anchorId="4C078B1B" wp14:editId="1561A0A0">
            <wp:simplePos x="0" y="0"/>
            <wp:positionH relativeFrom="column">
              <wp:posOffset>731943</wp:posOffset>
            </wp:positionH>
            <wp:positionV relativeFrom="paragraph">
              <wp:posOffset>310938</wp:posOffset>
            </wp:positionV>
            <wp:extent cx="4318000" cy="2571439"/>
            <wp:effectExtent l="0" t="0" r="0" b="0"/>
            <wp:wrapTopAndBottom/>
            <wp:docPr id="1122549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49937" name="Picture 1122549937"/>
                    <pic:cNvPicPr/>
                  </pic:nvPicPr>
                  <pic:blipFill>
                    <a:blip r:embed="rId8"/>
                    <a:stretch>
                      <a:fillRect/>
                    </a:stretch>
                  </pic:blipFill>
                  <pic:spPr>
                    <a:xfrm>
                      <a:off x="0" y="0"/>
                      <a:ext cx="4318000" cy="2571439"/>
                    </a:xfrm>
                    <a:prstGeom prst="rect">
                      <a:avLst/>
                    </a:prstGeom>
                  </pic:spPr>
                </pic:pic>
              </a:graphicData>
            </a:graphic>
            <wp14:sizeRelH relativeFrom="page">
              <wp14:pctWidth>0</wp14:pctWidth>
            </wp14:sizeRelH>
            <wp14:sizeRelV relativeFrom="page">
              <wp14:pctHeight>0</wp14:pctHeight>
            </wp14:sizeRelV>
          </wp:anchor>
        </w:drawing>
      </w:r>
      <w:r>
        <w:rPr>
          <w:rFonts w:ascii="Consolas" w:hAnsi="Consolas"/>
          <w:sz w:val="20"/>
        </w:rPr>
        <w:t>X Axis</w:t>
      </w:r>
      <w:r>
        <w:t xml:space="preserve"> → </w:t>
      </w:r>
      <w:proofErr w:type="spellStart"/>
      <w:proofErr w:type="gramStart"/>
      <w:r>
        <w:rPr>
          <w:rFonts w:ascii="Consolas" w:hAnsi="Consolas"/>
          <w:sz w:val="20"/>
        </w:rPr>
        <w:t>BrainRegion</w:t>
      </w:r>
      <w:proofErr w:type="spellEnd"/>
      <w:r>
        <w:t xml:space="preserve">,  </w:t>
      </w:r>
      <w:r>
        <w:rPr>
          <w:rFonts w:ascii="Consolas" w:hAnsi="Consolas"/>
          <w:sz w:val="20"/>
        </w:rPr>
        <w:t>Y</w:t>
      </w:r>
      <w:proofErr w:type="gramEnd"/>
      <w:r>
        <w:rPr>
          <w:rFonts w:ascii="Consolas" w:hAnsi="Consolas"/>
          <w:sz w:val="20"/>
        </w:rPr>
        <w:t xml:space="preserve"> Axis</w:t>
      </w:r>
      <w:r>
        <w:t xml:space="preserve"> → </w:t>
      </w:r>
      <w:proofErr w:type="spellStart"/>
      <w:r>
        <w:rPr>
          <w:rFonts w:ascii="Consolas" w:hAnsi="Consolas"/>
          <w:sz w:val="20"/>
        </w:rPr>
        <w:t>FiringRate_Hz</w:t>
      </w:r>
      <w:proofErr w:type="spellEnd"/>
      <w:r>
        <w:t>.</w:t>
      </w:r>
    </w:p>
    <w:p w14:paraId="55A33A45" w14:textId="19FC5C97" w:rsidR="008E2B69" w:rsidRDefault="008E2B69" w:rsidP="008E2B69">
      <w:pPr>
        <w:pStyle w:val="ListNumber"/>
        <w:numPr>
          <w:ilvl w:val="0"/>
          <w:numId w:val="0"/>
        </w:numPr>
        <w:spacing w:after="180"/>
        <w:ind w:left="360" w:hanging="360"/>
      </w:pPr>
    </w:p>
    <w:p w14:paraId="5F4522F6" w14:textId="77777777" w:rsidR="00021E46" w:rsidRDefault="00000000">
      <w:pPr>
        <w:spacing w:after="200"/>
      </w:pPr>
      <w:r>
        <w:rPr>
          <w:i/>
          <w:color w:val="5B6471"/>
          <w:sz w:val="18"/>
        </w:rPr>
        <w:t>Figure 1. Firing rate in the three regions.</w:t>
      </w:r>
    </w:p>
    <w:p w14:paraId="7A5B28F5" w14:textId="39300492" w:rsidR="00021E46" w:rsidRDefault="00000000">
      <w:r>
        <w:lastRenderedPageBreak/>
        <w:t>The hippocampus looks highest and the amygdala lowest, with the prefrontal cortex in between — but the boxes overlap, and with three groups there are three possible comparisons to get confused by.</w:t>
      </w:r>
    </w:p>
    <w:p w14:paraId="163F26EF" w14:textId="77777777" w:rsidR="00021E46" w:rsidRDefault="00000000">
      <w:pPr>
        <w:pStyle w:val="Heading2"/>
      </w:pPr>
      <w:r>
        <w:t>3.  Which test, and why</w:t>
      </w:r>
    </w:p>
    <w:p w14:paraId="0FC54FE8" w14:textId="77777777" w:rsidR="00021E46" w:rsidRDefault="00000000">
      <w:r>
        <w:t xml:space="preserve">With three groups you might be tempted to run three t-tests. </w:t>
      </w:r>
      <w:r>
        <w:rPr>
          <w:b/>
        </w:rPr>
        <w:t>Don't.</w:t>
      </w:r>
      <w:r>
        <w:t xml:space="preserve"> Each test carries a 5% chance of a false positive, so three tests carry roughly 14%. ANOVA asks the question once.</w:t>
      </w:r>
    </w:p>
    <w:tbl>
      <w:tblPr>
        <w:tblStyle w:val="TableGrid"/>
        <w:tblW w:w="0" w:type="auto"/>
        <w:jc w:val="center"/>
        <w:tblLook w:val="04A0" w:firstRow="1" w:lastRow="0" w:firstColumn="1" w:lastColumn="0" w:noHBand="0" w:noVBand="1"/>
      </w:tblPr>
      <w:tblGrid>
        <w:gridCol w:w="4195"/>
        <w:gridCol w:w="4989"/>
      </w:tblGrid>
      <w:tr w:rsidR="00021E46" w14:paraId="5540F89D" w14:textId="77777777">
        <w:trPr>
          <w:tblHeader/>
          <w:jc w:val="center"/>
        </w:trPr>
        <w:tc>
          <w:tcPr>
            <w:tcW w:w="4195" w:type="dxa"/>
            <w:shd w:val="clear" w:color="auto" w:fill="E8EFFC"/>
          </w:tcPr>
          <w:p w14:paraId="1F9729C9" w14:textId="77777777" w:rsidR="00021E46" w:rsidRDefault="00000000">
            <w:pPr>
              <w:spacing w:before="60" w:after="60"/>
            </w:pPr>
            <w:r>
              <w:rPr>
                <w:b/>
                <w:sz w:val="19"/>
              </w:rPr>
              <w:t>Your design</w:t>
            </w:r>
          </w:p>
        </w:tc>
        <w:tc>
          <w:tcPr>
            <w:tcW w:w="4989" w:type="dxa"/>
            <w:shd w:val="clear" w:color="auto" w:fill="E8EFFC"/>
          </w:tcPr>
          <w:p w14:paraId="052AC7D5" w14:textId="77777777" w:rsidR="00021E46" w:rsidRDefault="00000000">
            <w:pPr>
              <w:spacing w:before="60" w:after="60"/>
            </w:pPr>
            <w:r>
              <w:rPr>
                <w:b/>
                <w:sz w:val="19"/>
              </w:rPr>
              <w:t>Use</w:t>
            </w:r>
          </w:p>
        </w:tc>
      </w:tr>
      <w:tr w:rsidR="00021E46" w14:paraId="445F9CD3" w14:textId="77777777">
        <w:trPr>
          <w:jc w:val="center"/>
        </w:trPr>
        <w:tc>
          <w:tcPr>
            <w:tcW w:w="4195" w:type="dxa"/>
          </w:tcPr>
          <w:p w14:paraId="388E8EC1" w14:textId="77777777" w:rsidR="00021E46" w:rsidRDefault="00000000">
            <w:pPr>
              <w:spacing w:before="60" w:after="60"/>
            </w:pPr>
            <w:r>
              <w:rPr>
                <w:sz w:val="19"/>
              </w:rPr>
              <w:t xml:space="preserve">One factor, </w:t>
            </w:r>
            <w:r>
              <w:rPr>
                <w:b/>
                <w:sz w:val="19"/>
              </w:rPr>
              <w:t>three or more</w:t>
            </w:r>
            <w:r>
              <w:rPr>
                <w:sz w:val="19"/>
              </w:rPr>
              <w:t xml:space="preserve"> groups</w:t>
            </w:r>
          </w:p>
        </w:tc>
        <w:tc>
          <w:tcPr>
            <w:tcW w:w="4989" w:type="dxa"/>
          </w:tcPr>
          <w:p w14:paraId="50075548" w14:textId="77777777" w:rsidR="00021E46" w:rsidRDefault="00000000">
            <w:pPr>
              <w:spacing w:before="60" w:after="60"/>
            </w:pPr>
            <w:r>
              <w:rPr>
                <w:b/>
                <w:sz w:val="19"/>
              </w:rPr>
              <w:t>One-way ANOVA</w:t>
            </w:r>
            <w:r>
              <w:rPr>
                <w:sz w:val="19"/>
              </w:rPr>
              <w:t xml:space="preserve">  ← first half of this guide</w:t>
            </w:r>
          </w:p>
        </w:tc>
      </w:tr>
      <w:tr w:rsidR="00021E46" w14:paraId="76EAAD0F" w14:textId="77777777">
        <w:trPr>
          <w:jc w:val="center"/>
        </w:trPr>
        <w:tc>
          <w:tcPr>
            <w:tcW w:w="4195" w:type="dxa"/>
          </w:tcPr>
          <w:p w14:paraId="2310132F" w14:textId="77777777" w:rsidR="00021E46" w:rsidRDefault="00000000">
            <w:pPr>
              <w:spacing w:before="60" w:after="60"/>
            </w:pPr>
            <w:r>
              <w:rPr>
                <w:b/>
                <w:sz w:val="19"/>
              </w:rPr>
              <w:t>Two</w:t>
            </w:r>
            <w:r>
              <w:rPr>
                <w:sz w:val="19"/>
              </w:rPr>
              <w:t xml:space="preserve"> factors at once</w:t>
            </w:r>
          </w:p>
        </w:tc>
        <w:tc>
          <w:tcPr>
            <w:tcW w:w="4989" w:type="dxa"/>
          </w:tcPr>
          <w:p w14:paraId="3ABCC552" w14:textId="77777777" w:rsidR="00021E46" w:rsidRDefault="00000000">
            <w:pPr>
              <w:spacing w:before="60" w:after="60"/>
            </w:pPr>
            <w:r>
              <w:rPr>
                <w:b/>
                <w:sz w:val="19"/>
              </w:rPr>
              <w:t>Two-way ANOVA</w:t>
            </w:r>
            <w:r>
              <w:rPr>
                <w:sz w:val="19"/>
              </w:rPr>
              <w:t xml:space="preserve">  ← second half</w:t>
            </w:r>
          </w:p>
        </w:tc>
      </w:tr>
      <w:tr w:rsidR="00021E46" w14:paraId="257AC623" w14:textId="77777777">
        <w:trPr>
          <w:jc w:val="center"/>
        </w:trPr>
        <w:tc>
          <w:tcPr>
            <w:tcW w:w="4195" w:type="dxa"/>
          </w:tcPr>
          <w:p w14:paraId="23FE0339" w14:textId="77777777" w:rsidR="00021E46" w:rsidRDefault="00000000">
            <w:pPr>
              <w:spacing w:before="60" w:after="60"/>
            </w:pPr>
            <w:r>
              <w:rPr>
                <w:sz w:val="19"/>
              </w:rPr>
              <w:t>One factor, exactly two groups</w:t>
            </w:r>
          </w:p>
        </w:tc>
        <w:tc>
          <w:tcPr>
            <w:tcW w:w="4989" w:type="dxa"/>
          </w:tcPr>
          <w:p w14:paraId="62CE7566" w14:textId="77777777" w:rsidR="00021E46" w:rsidRDefault="00000000">
            <w:pPr>
              <w:spacing w:before="60" w:after="60"/>
            </w:pPr>
            <w:r>
              <w:rPr>
                <w:sz w:val="19"/>
              </w:rPr>
              <w:t>Independent t-test (Guide 2) — ANOVA would give the same answer</w:t>
            </w:r>
          </w:p>
        </w:tc>
      </w:tr>
    </w:tbl>
    <w:p w14:paraId="720FFEC2" w14:textId="77777777" w:rsidR="00021E46" w:rsidRDefault="00021E46">
      <w:pPr>
        <w:spacing w:after="40"/>
      </w:pPr>
    </w:p>
    <w:p w14:paraId="6AAD54B5" w14:textId="77777777" w:rsidR="00021E46" w:rsidRDefault="00000000">
      <w:r>
        <w:t xml:space="preserve">ANOVA compares the variation </w:t>
      </w:r>
      <w:r>
        <w:rPr>
          <w:b/>
        </w:rPr>
        <w:t>between</w:t>
      </w:r>
      <w:r>
        <w:t xml:space="preserve"> the group means against the variation </w:t>
      </w:r>
      <w:r>
        <w:rPr>
          <w:b/>
        </w:rPr>
        <w:t>within</w:t>
      </w:r>
      <w:r>
        <w:t xml:space="preserve"> each group. If the gaps between groups are large compared with the scatter inside them, the ratio — the </w:t>
      </w:r>
      <w:r>
        <w:rPr>
          <w:b/>
        </w:rPr>
        <w:t>F statistic</w:t>
      </w:r>
      <w:r>
        <w:t xml:space="preserve"> — comes out big, and a big F is unlikely if the groups really share one mean.</w:t>
      </w:r>
    </w:p>
    <w:tbl>
      <w:tblPr>
        <w:tblW w:w="0" w:type="auto"/>
        <w:tblLook w:val="04A0" w:firstRow="1" w:lastRow="0" w:firstColumn="1" w:lastColumn="0" w:noHBand="0" w:noVBand="1"/>
      </w:tblPr>
      <w:tblGrid>
        <w:gridCol w:w="9411"/>
      </w:tblGrid>
      <w:tr w:rsidR="00021E46" w14:paraId="69754C40"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169783BD" w14:textId="77777777" w:rsidR="00021E46" w:rsidRDefault="00000000">
            <w:pPr>
              <w:spacing w:before="80" w:after="40"/>
            </w:pPr>
            <w:r>
              <w:rPr>
                <w:b/>
                <w:sz w:val="20"/>
              </w:rPr>
              <w:t>What a significant ANOVA does and does not tell you</w:t>
            </w:r>
          </w:p>
          <w:p w14:paraId="4DA5B749" w14:textId="77777777" w:rsidR="00021E46" w:rsidRDefault="00000000">
            <w:pPr>
              <w:spacing w:after="120"/>
            </w:pPr>
            <w:r>
              <w:rPr>
                <w:sz w:val="20"/>
              </w:rPr>
              <w:t xml:space="preserve">It tells you </w:t>
            </w:r>
            <w:r>
              <w:rPr>
                <w:b/>
                <w:sz w:val="20"/>
              </w:rPr>
              <w:t>at least one group differs from at least one other</w:t>
            </w:r>
            <w:r>
              <w:rPr>
                <w:sz w:val="20"/>
              </w:rPr>
              <w:t xml:space="preserve">. It does not tell you which. For that you need a </w:t>
            </w:r>
            <w:r>
              <w:rPr>
                <w:b/>
                <w:sz w:val="20"/>
              </w:rPr>
              <w:t>post-hoc test</w:t>
            </w:r>
            <w:r>
              <w:rPr>
                <w:sz w:val="20"/>
              </w:rPr>
              <w:t>, which compares the groups pair by pair while keeping the overall false-positive rate at 5%.</w:t>
            </w:r>
          </w:p>
        </w:tc>
      </w:tr>
    </w:tbl>
    <w:p w14:paraId="640EFC0C" w14:textId="77777777" w:rsidR="00021E46" w:rsidRDefault="00000000">
      <w:pPr>
        <w:pStyle w:val="Heading2"/>
      </w:pPr>
      <w:r>
        <w:t>4.  Running the one-way ANOVA</w:t>
      </w:r>
    </w:p>
    <w:p w14:paraId="2DE8490E" w14:textId="77777777" w:rsidR="00021E46" w:rsidRDefault="00000000">
      <w:r>
        <w:rPr>
          <w:rFonts w:ascii="Consolas" w:hAnsi="Consolas"/>
          <w:sz w:val="20"/>
        </w:rPr>
        <w:t>Statistics</w:t>
      </w:r>
      <w:r>
        <w:t xml:space="preserve"> tab → </w:t>
      </w:r>
      <w:r>
        <w:rPr>
          <w:rFonts w:ascii="Consolas" w:hAnsi="Consolas"/>
          <w:sz w:val="20"/>
        </w:rPr>
        <w:t>ANOVA</w:t>
      </w:r>
      <w:r>
        <w:t xml:space="preserve"> → </w:t>
      </w:r>
      <w:r>
        <w:rPr>
          <w:rFonts w:ascii="Consolas" w:hAnsi="Consolas"/>
          <w:sz w:val="20"/>
        </w:rPr>
        <w:t>One-Way ANOVA</w:t>
      </w:r>
      <w:r>
        <w:t>.</w:t>
      </w:r>
    </w:p>
    <w:p w14:paraId="434758C1" w14:textId="46610B3F" w:rsidR="00021E46" w:rsidRDefault="00000000" w:rsidP="008E2B69">
      <w:pPr>
        <w:pStyle w:val="ListNumber"/>
        <w:numPr>
          <w:ilvl w:val="0"/>
          <w:numId w:val="10"/>
        </w:numPr>
        <w:spacing w:after="60"/>
      </w:pPr>
      <w:r w:rsidRPr="008E2B69">
        <w:rPr>
          <w:rFonts w:ascii="Consolas" w:hAnsi="Consolas"/>
          <w:sz w:val="20"/>
        </w:rPr>
        <w:t>Dependent Variable (Numeric)</w:t>
      </w:r>
      <w:r>
        <w:t xml:space="preserve"> → </w:t>
      </w:r>
      <w:r w:rsidRPr="008E2B69">
        <w:rPr>
          <w:rFonts w:ascii="Consolas" w:hAnsi="Consolas"/>
          <w:sz w:val="20"/>
        </w:rPr>
        <w:t>FiringRate_Hz</w:t>
      </w:r>
    </w:p>
    <w:p w14:paraId="2324C692" w14:textId="77777777" w:rsidR="00021E46" w:rsidRDefault="00000000">
      <w:pPr>
        <w:pStyle w:val="ListNumber"/>
        <w:spacing w:after="60"/>
      </w:pPr>
      <w:r>
        <w:rPr>
          <w:rFonts w:ascii="Consolas" w:hAnsi="Consolas"/>
          <w:sz w:val="20"/>
        </w:rPr>
        <w:t>Factor / Grouping Variable</w:t>
      </w:r>
      <w:r>
        <w:t xml:space="preserve"> → </w:t>
      </w:r>
      <w:r>
        <w:rPr>
          <w:rFonts w:ascii="Consolas" w:hAnsi="Consolas"/>
          <w:sz w:val="20"/>
        </w:rPr>
        <w:t>BrainRegion</w:t>
      </w:r>
    </w:p>
    <w:p w14:paraId="54E29C70" w14:textId="77777777" w:rsidR="00021E46" w:rsidRDefault="00000000">
      <w:pPr>
        <w:pStyle w:val="ListNumber"/>
        <w:spacing w:after="180"/>
      </w:pPr>
      <w:r>
        <w:t xml:space="preserve">In the ANOVA options, set </w:t>
      </w:r>
      <w:r>
        <w:rPr>
          <w:rFonts w:ascii="Consolas" w:hAnsi="Consolas"/>
          <w:sz w:val="20"/>
        </w:rPr>
        <w:t>Post-hoc Test</w:t>
      </w:r>
      <w:r>
        <w:t xml:space="preserve"> → </w:t>
      </w:r>
      <w:r>
        <w:rPr>
          <w:rFonts w:ascii="Consolas" w:hAnsi="Consolas"/>
          <w:sz w:val="20"/>
        </w:rPr>
        <w:t>Tukey HSD</w:t>
      </w:r>
      <w:r>
        <w:t>.</w:t>
      </w:r>
    </w:p>
    <w:p w14:paraId="7E796320" w14:textId="0BAAF970" w:rsidR="008E2B69" w:rsidRDefault="008E2B69">
      <w:pPr>
        <w:spacing w:after="200"/>
        <w:rPr>
          <w:i/>
          <w:color w:val="5B6471"/>
          <w:sz w:val="18"/>
        </w:rPr>
      </w:pPr>
      <w:r w:rsidRPr="008E2B69">
        <w:rPr>
          <w:i/>
          <w:noProof/>
          <w:color w:val="5B6471"/>
          <w:sz w:val="18"/>
        </w:rPr>
        <w:lastRenderedPageBreak/>
        <w:drawing>
          <wp:anchor distT="0" distB="0" distL="114300" distR="114300" simplePos="0" relativeHeight="251659264" behindDoc="0" locked="0" layoutInCell="1" allowOverlap="1" wp14:anchorId="5ABC6F7B" wp14:editId="10FB8F65">
            <wp:simplePos x="0" y="0"/>
            <wp:positionH relativeFrom="column">
              <wp:posOffset>437625</wp:posOffset>
            </wp:positionH>
            <wp:positionV relativeFrom="paragraph">
              <wp:posOffset>5080</wp:posOffset>
            </wp:positionV>
            <wp:extent cx="4713605" cy="3875405"/>
            <wp:effectExtent l="0" t="0" r="0" b="0"/>
            <wp:wrapTopAndBottom/>
            <wp:docPr id="160644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441444" name=""/>
                    <pic:cNvPicPr/>
                  </pic:nvPicPr>
                  <pic:blipFill>
                    <a:blip r:embed="rId9"/>
                    <a:stretch>
                      <a:fillRect/>
                    </a:stretch>
                  </pic:blipFill>
                  <pic:spPr>
                    <a:xfrm>
                      <a:off x="0" y="0"/>
                      <a:ext cx="4713605" cy="3875405"/>
                    </a:xfrm>
                    <a:prstGeom prst="rect">
                      <a:avLst/>
                    </a:prstGeom>
                  </pic:spPr>
                </pic:pic>
              </a:graphicData>
            </a:graphic>
            <wp14:sizeRelH relativeFrom="page">
              <wp14:pctWidth>0</wp14:pctWidth>
            </wp14:sizeRelH>
            <wp14:sizeRelV relativeFrom="page">
              <wp14:pctHeight>0</wp14:pctHeight>
            </wp14:sizeRelV>
          </wp:anchor>
        </w:drawing>
      </w:r>
    </w:p>
    <w:p w14:paraId="77A70E22" w14:textId="152318C1" w:rsidR="00021E46" w:rsidRDefault="00000000">
      <w:pPr>
        <w:spacing w:after="200"/>
      </w:pPr>
      <w:r>
        <w:rPr>
          <w:i/>
          <w:color w:val="5B6471"/>
          <w:sz w:val="18"/>
        </w:rPr>
        <w:t>Figure 2. The completed set-up.</w:t>
      </w:r>
    </w:p>
    <w:p w14:paraId="5ED626D6" w14:textId="77777777" w:rsidR="00021E46" w:rsidRDefault="00000000">
      <w:r>
        <w:rPr>
          <w:rFonts w:ascii="Consolas" w:hAnsi="Consolas"/>
          <w:sz w:val="20"/>
        </w:rPr>
        <w:t>Tukey HSD</w:t>
      </w:r>
      <w:r>
        <w:t xml:space="preserve"> is the standard choice when you want every group compared with every other. Use </w:t>
      </w:r>
      <w:r>
        <w:rPr>
          <w:rFonts w:ascii="Consolas" w:hAnsi="Consolas"/>
          <w:sz w:val="20"/>
        </w:rPr>
        <w:t>Dunnett (vs control)</w:t>
      </w:r>
      <w:r>
        <w:t xml:space="preserve"> instead when one group is a control and the others are only interesting compared with it — it makes fewer comparisons, so it has more power to find the ones you care about.</w:t>
      </w:r>
    </w:p>
    <w:tbl>
      <w:tblPr>
        <w:tblW w:w="0" w:type="auto"/>
        <w:tblLook w:val="04A0" w:firstRow="1" w:lastRow="0" w:firstColumn="1" w:lastColumn="0" w:noHBand="0" w:noVBand="1"/>
      </w:tblPr>
      <w:tblGrid>
        <w:gridCol w:w="9411"/>
      </w:tblGrid>
      <w:tr w:rsidR="00021E46" w14:paraId="05346B1B"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589CBC94" w14:textId="77777777" w:rsidR="00021E46" w:rsidRDefault="00000000">
            <w:pPr>
              <w:spacing w:before="80" w:after="40"/>
            </w:pPr>
            <w:r>
              <w:rPr>
                <w:b/>
                <w:sz w:val="20"/>
              </w:rPr>
              <w:t>If the equal-variances check fails</w:t>
            </w:r>
          </w:p>
          <w:p w14:paraId="0FFB55A2" w14:textId="77777777" w:rsidR="00021E46" w:rsidRDefault="00000000">
            <w:pPr>
              <w:spacing w:after="60"/>
            </w:pPr>
            <w:r>
              <w:rPr>
                <w:sz w:val="20"/>
              </w:rPr>
              <w:t>The ordinary F statistic pools all the groups' variability into one error term, which stops being fair when the groups are spread out very differently. Plotara checks this for you with Levene's test (Guide 4) every time you run an ANOVA.</w:t>
            </w:r>
          </w:p>
          <w:p w14:paraId="3810CF7D" w14:textId="77777777" w:rsidR="00021E46" w:rsidRDefault="00000000">
            <w:pPr>
              <w:spacing w:after="60"/>
            </w:pPr>
            <w:r>
              <w:rPr>
                <w:sz w:val="20"/>
              </w:rPr>
              <w:t xml:space="preserve">If it fails, the output adds a </w:t>
            </w:r>
            <w:r>
              <w:rPr>
                <w:rFonts w:ascii="Consolas" w:hAnsi="Consolas"/>
                <w:b/>
                <w:sz w:val="18"/>
              </w:rPr>
              <w:t>WELCH ANOVA</w:t>
            </w:r>
            <w:r>
              <w:rPr>
                <w:sz w:val="20"/>
              </w:rPr>
              <w:t xml:space="preserve"> line — the version that does not assume equal variances — and tells you to report that one instead. The post-hoc test switches too, from Tukey to </w:t>
            </w:r>
            <w:r>
              <w:rPr>
                <w:b/>
                <w:sz w:val="20"/>
              </w:rPr>
              <w:t>Games-Howell</w:t>
            </w:r>
            <w:r>
              <w:rPr>
                <w:sz w:val="20"/>
              </w:rPr>
              <w:t>, which is its unequal-variances equivalent. You do not have to set anything; just read the labels and report what the output says.</w:t>
            </w:r>
          </w:p>
          <w:p w14:paraId="77F4CB9E" w14:textId="77777777" w:rsidR="00021E46" w:rsidRDefault="00000000">
            <w:pPr>
              <w:spacing w:after="120"/>
            </w:pPr>
            <w:r>
              <w:rPr>
                <w:sz w:val="20"/>
              </w:rPr>
              <w:t xml:space="preserve">Our firing-rate data passes the check (Levene p = 0.72), so the plain ANOVA and Tukey are what you will see. Try </w:t>
            </w:r>
            <w:r>
              <w:rPr>
                <w:rFonts w:ascii="Consolas" w:hAnsi="Consolas"/>
                <w:sz w:val="18"/>
              </w:rPr>
              <w:t>MemoryScore_pct</w:t>
            </w:r>
            <w:r>
              <w:rPr>
                <w:sz w:val="20"/>
              </w:rPr>
              <w:t xml:space="preserve"> instead and you will get the Welch version.</w:t>
            </w:r>
          </w:p>
        </w:tc>
      </w:tr>
    </w:tbl>
    <w:p w14:paraId="46FDA447" w14:textId="77777777" w:rsidR="00021E46" w:rsidRDefault="00021E46">
      <w:pPr>
        <w:spacing w:after="40"/>
      </w:pPr>
    </w:p>
    <w:p w14:paraId="0B941DD9" w14:textId="77777777" w:rsidR="00021E46" w:rsidRDefault="00000000">
      <w:pPr>
        <w:pStyle w:val="Heading2"/>
      </w:pPr>
      <w:r>
        <w:lastRenderedPageBreak/>
        <w:t>5.  The result</w:t>
      </w:r>
    </w:p>
    <w:p w14:paraId="46928051" w14:textId="75DDFCDE" w:rsidR="008E2B69" w:rsidRDefault="008E2B69">
      <w:pPr>
        <w:spacing w:after="200"/>
        <w:rPr>
          <w:i/>
          <w:color w:val="5B6471"/>
          <w:sz w:val="18"/>
        </w:rPr>
      </w:pPr>
      <w:r>
        <w:rPr>
          <w:i/>
          <w:noProof/>
          <w:color w:val="5B6471"/>
          <w:sz w:val="18"/>
        </w:rPr>
        <mc:AlternateContent>
          <mc:Choice Requires="wps">
            <w:drawing>
              <wp:anchor distT="0" distB="0" distL="114300" distR="114300" simplePos="0" relativeHeight="251662336" behindDoc="0" locked="0" layoutInCell="1" allowOverlap="1" wp14:anchorId="603AC5C2" wp14:editId="6D62769D">
                <wp:simplePos x="0" y="0"/>
                <wp:positionH relativeFrom="column">
                  <wp:posOffset>243205</wp:posOffset>
                </wp:positionH>
                <wp:positionV relativeFrom="paragraph">
                  <wp:posOffset>4404995</wp:posOffset>
                </wp:positionV>
                <wp:extent cx="2824480" cy="279400"/>
                <wp:effectExtent l="63500" t="38100" r="58420" b="76200"/>
                <wp:wrapNone/>
                <wp:docPr id="132043628" name="Rounded Rectangle 3"/>
                <wp:cNvGraphicFramePr/>
                <a:graphic xmlns:a="http://schemas.openxmlformats.org/drawingml/2006/main">
                  <a:graphicData uri="http://schemas.microsoft.com/office/word/2010/wordprocessingShape">
                    <wps:wsp>
                      <wps:cNvSpPr/>
                      <wps:spPr>
                        <a:xfrm>
                          <a:off x="0" y="0"/>
                          <a:ext cx="2824480" cy="279400"/>
                        </a:xfrm>
                        <a:prstGeom prst="roundRect">
                          <a:avLst/>
                        </a:prstGeom>
                        <a:noFill/>
                        <a:ln w="19050"/>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F59239" id="Rounded Rectangle 3" o:spid="_x0000_s1026" style="position:absolute;margin-left:19.15pt;margin-top:346.85pt;width:222.4pt;height: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" filled="f" strokecolor="#4579b8 [3044]" strokeweight="1.5pt">
                <v:shadow on="t" color="black" opacity="22937f" origin=",.5" offset="0,.63889mm"/>
              </v:roundrect>
            </w:pict>
          </mc:Fallback>
        </mc:AlternateContent>
      </w:r>
      <w:r>
        <w:rPr>
          <w:i/>
          <w:noProof/>
          <w:color w:val="5B6471"/>
          <w:sz w:val="18"/>
        </w:rPr>
        <mc:AlternateContent>
          <mc:Choice Requires="wps">
            <w:drawing>
              <wp:anchor distT="0" distB="0" distL="114300" distR="114300" simplePos="0" relativeHeight="251660288" behindDoc="0" locked="0" layoutInCell="1" allowOverlap="1" wp14:anchorId="7C7232B7" wp14:editId="1831C6F8">
                <wp:simplePos x="0" y="0"/>
                <wp:positionH relativeFrom="column">
                  <wp:posOffset>142010</wp:posOffset>
                </wp:positionH>
                <wp:positionV relativeFrom="paragraph">
                  <wp:posOffset>2938280</wp:posOffset>
                </wp:positionV>
                <wp:extent cx="2587558" cy="525294"/>
                <wp:effectExtent l="63500" t="38100" r="67310" b="71755"/>
                <wp:wrapNone/>
                <wp:docPr id="2106432736" name="Rounded Rectangle 3"/>
                <wp:cNvGraphicFramePr/>
                <a:graphic xmlns:a="http://schemas.openxmlformats.org/drawingml/2006/main">
                  <a:graphicData uri="http://schemas.microsoft.com/office/word/2010/wordprocessingShape">
                    <wps:wsp>
                      <wps:cNvSpPr/>
                      <wps:spPr>
                        <a:xfrm>
                          <a:off x="0" y="0"/>
                          <a:ext cx="2587558" cy="525294"/>
                        </a:xfrm>
                        <a:prstGeom prst="roundRect">
                          <a:avLst/>
                        </a:prstGeom>
                        <a:noFill/>
                        <a:ln w="19050"/>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1F7923" id="Rounded Rectangle 3" o:spid="_x0000_s1026" style="position:absolute;margin-left:11.2pt;margin-top:231.35pt;width:203.75pt;height:41.3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" filled="f" strokecolor="#4579b8 [3044]" strokeweight="1.5pt">
                <v:shadow on="t" color="black" opacity="22937f" origin=",.5" offset="0,.63889mm"/>
              </v:roundrect>
            </w:pict>
          </mc:Fallback>
        </mc:AlternateContent>
      </w:r>
      <w:r>
        <w:rPr>
          <w:i/>
          <w:noProof/>
          <w:color w:val="5B6471"/>
          <w:sz w:val="18"/>
        </w:rPr>
        <w:drawing>
          <wp:inline distT="0" distB="0" distL="0" distR="0" wp14:anchorId="44CA6CAD" wp14:editId="373CA899">
            <wp:extent cx="5976620" cy="4827270"/>
            <wp:effectExtent l="0" t="0" r="5080" b="0"/>
            <wp:docPr id="2137539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539856" name="Picture 2137539856"/>
                    <pic:cNvPicPr/>
                  </pic:nvPicPr>
                  <pic:blipFill>
                    <a:blip r:embed="rId10"/>
                    <a:stretch>
                      <a:fillRect/>
                    </a:stretch>
                  </pic:blipFill>
                  <pic:spPr>
                    <a:xfrm>
                      <a:off x="0" y="0"/>
                      <a:ext cx="5976620" cy="4827270"/>
                    </a:xfrm>
                    <a:prstGeom prst="rect">
                      <a:avLst/>
                    </a:prstGeom>
                  </pic:spPr>
                </pic:pic>
              </a:graphicData>
            </a:graphic>
          </wp:inline>
        </w:drawing>
      </w:r>
    </w:p>
    <w:p w14:paraId="14F8031B" w14:textId="58D6E16A" w:rsidR="00021E46" w:rsidRDefault="00000000">
      <w:pPr>
        <w:spacing w:after="200"/>
      </w:pPr>
      <w:r>
        <w:rPr>
          <w:i/>
          <w:color w:val="5B6471"/>
          <w:sz w:val="18"/>
        </w:rPr>
        <w:t>Figure 3. The output.</w:t>
      </w:r>
    </w:p>
    <w:tbl>
      <w:tblPr>
        <w:tblStyle w:val="TableGrid"/>
        <w:tblW w:w="0" w:type="auto"/>
        <w:jc w:val="center"/>
        <w:tblLook w:val="04A0" w:firstRow="1" w:lastRow="0" w:firstColumn="1" w:lastColumn="0" w:noHBand="0" w:noVBand="1"/>
      </w:tblPr>
      <w:tblGrid>
        <w:gridCol w:w="1928"/>
        <w:gridCol w:w="5102"/>
        <w:gridCol w:w="2154"/>
      </w:tblGrid>
      <w:tr w:rsidR="00021E46" w14:paraId="6782DC5A" w14:textId="77777777">
        <w:trPr>
          <w:tblHeader/>
          <w:jc w:val="center"/>
        </w:trPr>
        <w:tc>
          <w:tcPr>
            <w:tcW w:w="1928" w:type="dxa"/>
            <w:shd w:val="clear" w:color="auto" w:fill="E8EFFC"/>
          </w:tcPr>
          <w:p w14:paraId="099BD9BC" w14:textId="77777777" w:rsidR="00021E46" w:rsidRDefault="00000000">
            <w:pPr>
              <w:spacing w:before="60" w:after="60"/>
            </w:pPr>
            <w:r>
              <w:rPr>
                <w:b/>
                <w:sz w:val="19"/>
              </w:rPr>
              <w:t>Line</w:t>
            </w:r>
          </w:p>
        </w:tc>
        <w:tc>
          <w:tcPr>
            <w:tcW w:w="5102" w:type="dxa"/>
            <w:shd w:val="clear" w:color="auto" w:fill="E8EFFC"/>
          </w:tcPr>
          <w:p w14:paraId="3AFCBA3E" w14:textId="77777777" w:rsidR="00021E46" w:rsidRDefault="00000000">
            <w:pPr>
              <w:spacing w:before="60" w:after="60"/>
            </w:pPr>
            <w:r>
              <w:rPr>
                <w:b/>
                <w:sz w:val="19"/>
              </w:rPr>
              <w:t>What it means</w:t>
            </w:r>
          </w:p>
        </w:tc>
        <w:tc>
          <w:tcPr>
            <w:tcW w:w="2154" w:type="dxa"/>
            <w:shd w:val="clear" w:color="auto" w:fill="E8EFFC"/>
          </w:tcPr>
          <w:p w14:paraId="0C81B82A" w14:textId="77777777" w:rsidR="00021E46" w:rsidRDefault="00000000">
            <w:pPr>
              <w:spacing w:before="60" w:after="60"/>
            </w:pPr>
            <w:r>
              <w:rPr>
                <w:b/>
                <w:sz w:val="19"/>
              </w:rPr>
              <w:t>Ours</w:t>
            </w:r>
          </w:p>
        </w:tc>
      </w:tr>
      <w:tr w:rsidR="00021E46" w14:paraId="0D2A5ADC" w14:textId="77777777">
        <w:trPr>
          <w:jc w:val="center"/>
        </w:trPr>
        <w:tc>
          <w:tcPr>
            <w:tcW w:w="1928" w:type="dxa"/>
          </w:tcPr>
          <w:p w14:paraId="224C5245" w14:textId="77777777" w:rsidR="00021E46" w:rsidRDefault="00000000">
            <w:pPr>
              <w:spacing w:before="60" w:after="60"/>
            </w:pPr>
            <w:r>
              <w:rPr>
                <w:rFonts w:ascii="Consolas" w:hAnsi="Consolas"/>
                <w:sz w:val="17"/>
              </w:rPr>
              <w:t>ASSUMPTION CHECKS</w:t>
            </w:r>
          </w:p>
        </w:tc>
        <w:tc>
          <w:tcPr>
            <w:tcW w:w="5102" w:type="dxa"/>
          </w:tcPr>
          <w:p w14:paraId="64FCF848" w14:textId="77777777" w:rsidR="00021E46" w:rsidRDefault="00000000">
            <w:pPr>
              <w:spacing w:before="60" w:after="60"/>
            </w:pPr>
            <w:r>
              <w:rPr>
                <w:sz w:val="19"/>
              </w:rPr>
              <w:t>Plotara re-runs Guide 4's checks and prints them above the results, so you cannot miss a failure.</w:t>
            </w:r>
          </w:p>
        </w:tc>
        <w:tc>
          <w:tcPr>
            <w:tcW w:w="2154" w:type="dxa"/>
          </w:tcPr>
          <w:p w14:paraId="57CDCC7A" w14:textId="77777777" w:rsidR="00021E46" w:rsidRDefault="00000000">
            <w:pPr>
              <w:spacing w:before="60" w:after="60"/>
            </w:pPr>
            <w:r>
              <w:rPr>
                <w:sz w:val="19"/>
              </w:rPr>
              <w:t>all passed</w:t>
            </w:r>
          </w:p>
        </w:tc>
      </w:tr>
      <w:tr w:rsidR="00021E46" w14:paraId="7B15C37E" w14:textId="77777777">
        <w:trPr>
          <w:jc w:val="center"/>
        </w:trPr>
        <w:tc>
          <w:tcPr>
            <w:tcW w:w="1928" w:type="dxa"/>
          </w:tcPr>
          <w:p w14:paraId="2CEC6B09" w14:textId="77777777" w:rsidR="00021E46" w:rsidRDefault="00000000">
            <w:pPr>
              <w:spacing w:before="60" w:after="60"/>
            </w:pPr>
            <w:r>
              <w:rPr>
                <w:rFonts w:ascii="Consolas" w:hAnsi="Consolas"/>
                <w:sz w:val="17"/>
              </w:rPr>
              <w:t>F-Statistic</w:t>
            </w:r>
          </w:p>
        </w:tc>
        <w:tc>
          <w:tcPr>
            <w:tcW w:w="5102" w:type="dxa"/>
          </w:tcPr>
          <w:p w14:paraId="04D30C31" w14:textId="77777777" w:rsidR="00021E46" w:rsidRDefault="00000000">
            <w:pPr>
              <w:spacing w:before="60" w:after="60"/>
            </w:pPr>
            <w:r>
              <w:rPr>
                <w:sz w:val="19"/>
              </w:rPr>
              <w:t>The between-group variation divided by the within-group variation. A big F is hard to get by accident.</w:t>
            </w:r>
          </w:p>
        </w:tc>
        <w:tc>
          <w:tcPr>
            <w:tcW w:w="2154" w:type="dxa"/>
          </w:tcPr>
          <w:p w14:paraId="2F877810" w14:textId="77777777" w:rsidR="00021E46" w:rsidRDefault="00000000">
            <w:pPr>
              <w:spacing w:before="60" w:after="60"/>
            </w:pPr>
            <w:r>
              <w:rPr>
                <w:sz w:val="19"/>
              </w:rPr>
              <w:t>F = 12.85</w:t>
            </w:r>
          </w:p>
        </w:tc>
      </w:tr>
      <w:tr w:rsidR="00021E46" w14:paraId="4E91AAAB" w14:textId="77777777">
        <w:trPr>
          <w:jc w:val="center"/>
        </w:trPr>
        <w:tc>
          <w:tcPr>
            <w:tcW w:w="1928" w:type="dxa"/>
          </w:tcPr>
          <w:p w14:paraId="0CF9B622" w14:textId="77777777" w:rsidR="00021E46" w:rsidRDefault="00000000">
            <w:pPr>
              <w:spacing w:before="60" w:after="60"/>
            </w:pPr>
            <w:r>
              <w:rPr>
                <w:rFonts w:ascii="Consolas" w:hAnsi="Consolas"/>
                <w:sz w:val="17"/>
              </w:rPr>
              <w:t>P-Value</w:t>
            </w:r>
          </w:p>
        </w:tc>
        <w:tc>
          <w:tcPr>
            <w:tcW w:w="5102" w:type="dxa"/>
          </w:tcPr>
          <w:p w14:paraId="62CCE57B" w14:textId="77777777" w:rsidR="00021E46" w:rsidRDefault="00000000">
            <w:pPr>
              <w:spacing w:before="60" w:after="60"/>
            </w:pPr>
            <w:r>
              <w:rPr>
                <w:sz w:val="19"/>
              </w:rPr>
              <w:t>How often three groups drawn from one population would differ this much.</w:t>
            </w:r>
          </w:p>
        </w:tc>
        <w:tc>
          <w:tcPr>
            <w:tcW w:w="2154" w:type="dxa"/>
          </w:tcPr>
          <w:p w14:paraId="698C8330" w14:textId="77777777" w:rsidR="00021E46" w:rsidRDefault="00000000">
            <w:pPr>
              <w:spacing w:before="60" w:after="60"/>
            </w:pPr>
            <w:r>
              <w:rPr>
                <w:sz w:val="19"/>
              </w:rPr>
              <w:t>p &lt; 0.001</w:t>
            </w:r>
          </w:p>
        </w:tc>
      </w:tr>
      <w:tr w:rsidR="00021E46" w14:paraId="584294FD" w14:textId="77777777">
        <w:trPr>
          <w:jc w:val="center"/>
        </w:trPr>
        <w:tc>
          <w:tcPr>
            <w:tcW w:w="1928" w:type="dxa"/>
          </w:tcPr>
          <w:p w14:paraId="454D40FB" w14:textId="77777777" w:rsidR="00021E46" w:rsidRDefault="00000000">
            <w:pPr>
              <w:spacing w:before="60" w:after="60"/>
            </w:pPr>
            <w:r>
              <w:rPr>
                <w:rFonts w:ascii="Consolas" w:hAnsi="Consolas"/>
                <w:sz w:val="17"/>
              </w:rPr>
              <w:t>partial eta-squared</w:t>
            </w:r>
          </w:p>
        </w:tc>
        <w:tc>
          <w:tcPr>
            <w:tcW w:w="5102" w:type="dxa"/>
          </w:tcPr>
          <w:p w14:paraId="3FC2B560" w14:textId="77777777" w:rsidR="00021E46" w:rsidRDefault="00000000">
            <w:pPr>
              <w:spacing w:before="60" w:after="60"/>
            </w:pPr>
            <w:r>
              <w:rPr>
                <w:sz w:val="19"/>
              </w:rPr>
              <w:t>The share of the variation in firing rate explained by region. 0.01 small, 0.06 medium, 0.14 large.</w:t>
            </w:r>
          </w:p>
        </w:tc>
        <w:tc>
          <w:tcPr>
            <w:tcW w:w="2154" w:type="dxa"/>
          </w:tcPr>
          <w:p w14:paraId="2BB4F5B3" w14:textId="77777777" w:rsidR="00021E46" w:rsidRDefault="00000000">
            <w:pPr>
              <w:spacing w:before="60" w:after="60"/>
            </w:pPr>
            <w:r>
              <w:rPr>
                <w:sz w:val="19"/>
              </w:rPr>
              <w:t>0.127</w:t>
            </w:r>
          </w:p>
        </w:tc>
      </w:tr>
      <w:tr w:rsidR="00021E46" w14:paraId="64E1446E" w14:textId="77777777">
        <w:trPr>
          <w:jc w:val="center"/>
        </w:trPr>
        <w:tc>
          <w:tcPr>
            <w:tcW w:w="1928" w:type="dxa"/>
          </w:tcPr>
          <w:p w14:paraId="0D5A9A43" w14:textId="77777777" w:rsidR="00021E46" w:rsidRDefault="00000000">
            <w:pPr>
              <w:spacing w:before="60" w:after="60"/>
            </w:pPr>
            <w:r>
              <w:rPr>
                <w:rFonts w:ascii="Consolas" w:hAnsi="Consolas"/>
                <w:sz w:val="17"/>
              </w:rPr>
              <w:t>GROUP STATISTICS</w:t>
            </w:r>
          </w:p>
        </w:tc>
        <w:tc>
          <w:tcPr>
            <w:tcW w:w="5102" w:type="dxa"/>
          </w:tcPr>
          <w:p w14:paraId="67DCA27A" w14:textId="77777777" w:rsidR="00021E46" w:rsidRDefault="00000000">
            <w:pPr>
              <w:spacing w:before="60" w:after="60"/>
            </w:pPr>
            <w:r>
              <w:rPr>
                <w:sz w:val="19"/>
              </w:rPr>
              <w:t>N, mean and SD for each region.</w:t>
            </w:r>
          </w:p>
        </w:tc>
        <w:tc>
          <w:tcPr>
            <w:tcW w:w="2154" w:type="dxa"/>
          </w:tcPr>
          <w:p w14:paraId="16520D9F" w14:textId="77777777" w:rsidR="00021E46" w:rsidRDefault="00000000">
            <w:pPr>
              <w:spacing w:before="60" w:after="60"/>
            </w:pPr>
            <w:r>
              <w:rPr>
                <w:sz w:val="19"/>
              </w:rPr>
              <w:t>three rows</w:t>
            </w:r>
          </w:p>
        </w:tc>
      </w:tr>
      <w:tr w:rsidR="00021E46" w14:paraId="6E616829" w14:textId="77777777">
        <w:trPr>
          <w:jc w:val="center"/>
        </w:trPr>
        <w:tc>
          <w:tcPr>
            <w:tcW w:w="1928" w:type="dxa"/>
          </w:tcPr>
          <w:p w14:paraId="310B2E97" w14:textId="77777777" w:rsidR="00021E46" w:rsidRDefault="00000000">
            <w:pPr>
              <w:spacing w:before="60" w:after="60"/>
            </w:pPr>
            <w:r>
              <w:rPr>
                <w:rFonts w:ascii="Consolas" w:hAnsi="Consolas"/>
                <w:sz w:val="17"/>
              </w:rPr>
              <w:t>POST-HOC PAIRWISE</w:t>
            </w:r>
          </w:p>
        </w:tc>
        <w:tc>
          <w:tcPr>
            <w:tcW w:w="5102" w:type="dxa"/>
          </w:tcPr>
          <w:p w14:paraId="15072FA6" w14:textId="77777777" w:rsidR="00021E46" w:rsidRDefault="00000000">
            <w:pPr>
              <w:spacing w:before="60" w:after="60"/>
            </w:pPr>
            <w:r>
              <w:rPr>
                <w:sz w:val="19"/>
              </w:rPr>
              <w:t>Which pairs actually differ, with p-values already adjusted for making three comparisons.</w:t>
            </w:r>
          </w:p>
        </w:tc>
        <w:tc>
          <w:tcPr>
            <w:tcW w:w="2154" w:type="dxa"/>
          </w:tcPr>
          <w:p w14:paraId="4FBBB025" w14:textId="77777777" w:rsidR="00021E46" w:rsidRDefault="00000000">
            <w:pPr>
              <w:spacing w:before="60" w:after="60"/>
            </w:pPr>
            <w:r>
              <w:rPr>
                <w:sz w:val="19"/>
              </w:rPr>
              <w:t>see below</w:t>
            </w:r>
          </w:p>
        </w:tc>
      </w:tr>
    </w:tbl>
    <w:p w14:paraId="29E5DC3D" w14:textId="77777777" w:rsidR="00021E46" w:rsidRDefault="00021E46">
      <w:pPr>
        <w:spacing w:after="40"/>
      </w:pPr>
    </w:p>
    <w:tbl>
      <w:tblPr>
        <w:tblW w:w="0" w:type="auto"/>
        <w:tblLook w:val="04A0" w:firstRow="1" w:lastRow="0" w:firstColumn="1" w:lastColumn="0" w:noHBand="0" w:noVBand="1"/>
      </w:tblPr>
      <w:tblGrid>
        <w:gridCol w:w="9411"/>
      </w:tblGrid>
      <w:tr w:rsidR="00021E46" w14:paraId="7A6EE776"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723EE6D9" w14:textId="77777777" w:rsidR="00021E46" w:rsidRDefault="00000000">
            <w:pPr>
              <w:spacing w:before="80" w:after="40"/>
            </w:pPr>
            <w:r>
              <w:rPr>
                <w:b/>
                <w:sz w:val="20"/>
              </w:rPr>
              <w:t>You have to work out the degrees of freedom yourself</w:t>
            </w:r>
          </w:p>
          <w:p w14:paraId="722B191A" w14:textId="77777777" w:rsidR="00021E46" w:rsidRDefault="00000000">
            <w:pPr>
              <w:spacing w:after="120"/>
            </w:pPr>
            <w:r>
              <w:rPr>
                <w:sz w:val="20"/>
              </w:rPr>
              <w:t xml:space="preserve">The output gives you F and p but not the two df values, and APA style wants them. They are easy: the first is </w:t>
            </w:r>
            <w:r>
              <w:rPr>
                <w:b/>
                <w:sz w:val="20"/>
              </w:rPr>
              <w:t>number of groups − 1</w:t>
            </w:r>
            <w:r>
              <w:rPr>
                <w:sz w:val="20"/>
              </w:rPr>
              <w:t xml:space="preserve"> (3 − 1 = </w:t>
            </w:r>
            <w:r>
              <w:rPr>
                <w:b/>
                <w:sz w:val="20"/>
              </w:rPr>
              <w:t>2</w:t>
            </w:r>
            <w:r>
              <w:rPr>
                <w:sz w:val="20"/>
              </w:rPr>
              <w:t xml:space="preserve">) and the second is </w:t>
            </w:r>
            <w:r>
              <w:rPr>
                <w:b/>
                <w:sz w:val="20"/>
              </w:rPr>
              <w:t>N − number of groups</w:t>
            </w:r>
            <w:r>
              <w:rPr>
                <w:sz w:val="20"/>
              </w:rPr>
              <w:t xml:space="preserve"> (180 − 3 = </w:t>
            </w:r>
            <w:r>
              <w:rPr>
                <w:b/>
                <w:sz w:val="20"/>
              </w:rPr>
              <w:t>177</w:t>
            </w:r>
            <w:r>
              <w:rPr>
                <w:sz w:val="20"/>
              </w:rPr>
              <w:t>). So you report F(2, 177) = 12.85.</w:t>
            </w:r>
          </w:p>
        </w:tc>
      </w:tr>
    </w:tbl>
    <w:p w14:paraId="0BB2A52A" w14:textId="77777777" w:rsidR="00021E46" w:rsidRDefault="00021E46">
      <w:pPr>
        <w:spacing w:after="40"/>
      </w:pPr>
    </w:p>
    <w:p w14:paraId="5F76E325" w14:textId="77777777" w:rsidR="00021E46" w:rsidRDefault="00000000">
      <w:pPr>
        <w:pStyle w:val="Heading3"/>
      </w:pPr>
      <w:r>
        <w:t>Reading the post-hoc table</w:t>
      </w:r>
    </w:p>
    <w:tbl>
      <w:tblPr>
        <w:tblStyle w:val="TableGrid"/>
        <w:tblW w:w="0" w:type="auto"/>
        <w:jc w:val="center"/>
        <w:tblLook w:val="04A0" w:firstRow="1" w:lastRow="0" w:firstColumn="1" w:lastColumn="0" w:noHBand="0" w:noVBand="1"/>
      </w:tblPr>
      <w:tblGrid>
        <w:gridCol w:w="3628"/>
        <w:gridCol w:w="1928"/>
        <w:gridCol w:w="3628"/>
      </w:tblGrid>
      <w:tr w:rsidR="00021E46" w14:paraId="06D83511" w14:textId="77777777">
        <w:trPr>
          <w:tblHeader/>
          <w:jc w:val="center"/>
        </w:trPr>
        <w:tc>
          <w:tcPr>
            <w:tcW w:w="3628" w:type="dxa"/>
            <w:shd w:val="clear" w:color="auto" w:fill="E8EFFC"/>
          </w:tcPr>
          <w:p w14:paraId="6EF4E6B1" w14:textId="77777777" w:rsidR="00021E46" w:rsidRDefault="00000000">
            <w:pPr>
              <w:spacing w:before="60" w:after="60"/>
            </w:pPr>
            <w:r>
              <w:rPr>
                <w:b/>
                <w:sz w:val="19"/>
              </w:rPr>
              <w:t>Comparison</w:t>
            </w:r>
          </w:p>
        </w:tc>
        <w:tc>
          <w:tcPr>
            <w:tcW w:w="1928" w:type="dxa"/>
            <w:shd w:val="clear" w:color="auto" w:fill="E8EFFC"/>
          </w:tcPr>
          <w:p w14:paraId="444315DA" w14:textId="77777777" w:rsidR="00021E46" w:rsidRDefault="00000000">
            <w:pPr>
              <w:spacing w:before="60" w:after="60"/>
            </w:pPr>
            <w:r>
              <w:rPr>
                <w:b/>
                <w:sz w:val="19"/>
              </w:rPr>
              <w:t>Adjusted p</w:t>
            </w:r>
          </w:p>
        </w:tc>
        <w:tc>
          <w:tcPr>
            <w:tcW w:w="3628" w:type="dxa"/>
            <w:shd w:val="clear" w:color="auto" w:fill="E8EFFC"/>
          </w:tcPr>
          <w:p w14:paraId="5CAA2848" w14:textId="77777777" w:rsidR="00021E46" w:rsidRDefault="00000000">
            <w:pPr>
              <w:spacing w:before="60" w:after="60"/>
            </w:pPr>
            <w:r>
              <w:rPr>
                <w:b/>
                <w:sz w:val="19"/>
              </w:rPr>
              <w:t>Verdict</w:t>
            </w:r>
          </w:p>
        </w:tc>
      </w:tr>
      <w:tr w:rsidR="00021E46" w14:paraId="39E99E88" w14:textId="77777777">
        <w:trPr>
          <w:jc w:val="center"/>
        </w:trPr>
        <w:tc>
          <w:tcPr>
            <w:tcW w:w="3628" w:type="dxa"/>
          </w:tcPr>
          <w:p w14:paraId="2F7877A9" w14:textId="77777777" w:rsidR="00021E46" w:rsidRDefault="00000000">
            <w:pPr>
              <w:spacing w:before="60" w:after="60"/>
            </w:pPr>
            <w:r>
              <w:rPr>
                <w:sz w:val="19"/>
              </w:rPr>
              <w:t>Amygdala vs Hippocampus</w:t>
            </w:r>
          </w:p>
        </w:tc>
        <w:tc>
          <w:tcPr>
            <w:tcW w:w="1928" w:type="dxa"/>
          </w:tcPr>
          <w:p w14:paraId="3B9367DC" w14:textId="77777777" w:rsidR="00021E46" w:rsidRDefault="00000000">
            <w:pPr>
              <w:spacing w:before="60" w:after="60"/>
            </w:pPr>
            <w:r>
              <w:rPr>
                <w:sz w:val="19"/>
              </w:rPr>
              <w:t>&lt; 0.001</w:t>
            </w:r>
          </w:p>
        </w:tc>
        <w:tc>
          <w:tcPr>
            <w:tcW w:w="3628" w:type="dxa"/>
          </w:tcPr>
          <w:p w14:paraId="2104381E" w14:textId="77777777" w:rsidR="00021E46" w:rsidRDefault="00000000">
            <w:pPr>
              <w:spacing w:before="60" w:after="60"/>
            </w:pPr>
            <w:r>
              <w:rPr>
                <w:sz w:val="19"/>
              </w:rPr>
              <w:t>Clearly different</w:t>
            </w:r>
          </w:p>
        </w:tc>
      </w:tr>
      <w:tr w:rsidR="00021E46" w14:paraId="51AD3555" w14:textId="77777777">
        <w:trPr>
          <w:jc w:val="center"/>
        </w:trPr>
        <w:tc>
          <w:tcPr>
            <w:tcW w:w="3628" w:type="dxa"/>
          </w:tcPr>
          <w:p w14:paraId="527393C2" w14:textId="77777777" w:rsidR="00021E46" w:rsidRDefault="00000000">
            <w:pPr>
              <w:spacing w:before="60" w:after="60"/>
            </w:pPr>
            <w:r>
              <w:rPr>
                <w:sz w:val="19"/>
              </w:rPr>
              <w:t>Amygdala vs PrefrontalCortex</w:t>
            </w:r>
          </w:p>
        </w:tc>
        <w:tc>
          <w:tcPr>
            <w:tcW w:w="1928" w:type="dxa"/>
          </w:tcPr>
          <w:p w14:paraId="36F856D7" w14:textId="77777777" w:rsidR="00021E46" w:rsidRDefault="00000000">
            <w:pPr>
              <w:spacing w:before="60" w:after="60"/>
            </w:pPr>
            <w:r>
              <w:rPr>
                <w:sz w:val="19"/>
              </w:rPr>
              <w:t>0.018</w:t>
            </w:r>
          </w:p>
        </w:tc>
        <w:tc>
          <w:tcPr>
            <w:tcW w:w="3628" w:type="dxa"/>
          </w:tcPr>
          <w:p w14:paraId="70283604" w14:textId="77777777" w:rsidR="00021E46" w:rsidRDefault="00000000">
            <w:pPr>
              <w:spacing w:before="60" w:after="60"/>
            </w:pPr>
            <w:r>
              <w:rPr>
                <w:sz w:val="19"/>
              </w:rPr>
              <w:t>Different</w:t>
            </w:r>
          </w:p>
        </w:tc>
      </w:tr>
      <w:tr w:rsidR="00021E46" w14:paraId="3BA9426A" w14:textId="77777777">
        <w:trPr>
          <w:jc w:val="center"/>
        </w:trPr>
        <w:tc>
          <w:tcPr>
            <w:tcW w:w="3628" w:type="dxa"/>
          </w:tcPr>
          <w:p w14:paraId="7CE3DDB5" w14:textId="77777777" w:rsidR="00021E46" w:rsidRDefault="00000000">
            <w:pPr>
              <w:spacing w:before="60" w:after="60"/>
            </w:pPr>
            <w:r>
              <w:rPr>
                <w:sz w:val="19"/>
              </w:rPr>
              <w:t>Hippocampus vs PrefrontalCortex</w:t>
            </w:r>
          </w:p>
        </w:tc>
        <w:tc>
          <w:tcPr>
            <w:tcW w:w="1928" w:type="dxa"/>
          </w:tcPr>
          <w:p w14:paraId="4CBD752B" w14:textId="77777777" w:rsidR="00021E46" w:rsidRDefault="00000000">
            <w:pPr>
              <w:spacing w:before="60" w:after="60"/>
            </w:pPr>
            <w:r>
              <w:rPr>
                <w:sz w:val="19"/>
              </w:rPr>
              <w:t>0.056</w:t>
            </w:r>
          </w:p>
        </w:tc>
        <w:tc>
          <w:tcPr>
            <w:tcW w:w="3628" w:type="dxa"/>
          </w:tcPr>
          <w:p w14:paraId="1B44DB99" w14:textId="77777777" w:rsidR="00021E46" w:rsidRDefault="00000000">
            <w:pPr>
              <w:spacing w:before="60" w:after="60"/>
            </w:pPr>
            <w:r>
              <w:rPr>
                <w:sz w:val="19"/>
              </w:rPr>
              <w:t>Not significant — but only just</w:t>
            </w:r>
          </w:p>
        </w:tc>
      </w:tr>
    </w:tbl>
    <w:p w14:paraId="6765C16F" w14:textId="77777777" w:rsidR="00021E46" w:rsidRDefault="00021E46">
      <w:pPr>
        <w:spacing w:after="40"/>
      </w:pPr>
    </w:p>
    <w:p w14:paraId="45BAB2DD" w14:textId="77777777" w:rsidR="00021E46" w:rsidRDefault="00000000">
      <w:r>
        <w:t>That last row is worth sitting with. At p = 0.056 nothing magical separates it from p = 0.049; the 0.05 threshold is a convention, not a law of nature. Report the number and let the reader judge, rather than writing 'no difference'.</w:t>
      </w:r>
    </w:p>
    <w:p w14:paraId="266CA593" w14:textId="77777777" w:rsidR="00021E46" w:rsidRDefault="00000000">
      <w:pPr>
        <w:pStyle w:val="Heading3"/>
      </w:pPr>
      <w:r>
        <w:t>Writing it up</w:t>
      </w:r>
    </w:p>
    <w:p w14:paraId="3118B159" w14:textId="77777777" w:rsidR="00021E46" w:rsidRDefault="00000000">
      <w:r>
        <w:t>“Firing rate differed significantly between brain regions, F(2, 177) = 12.85, p &lt; .001, ηp² = 0.13. Tukey-corrected comparisons showed the hippocampus (M = 6.20) fired faster than the amygdala (M = 4.41, p &lt; .001), and the prefrontal cortex (M = 5.38) also fired faster than the amygdala (p = .018); the hippocampus and prefrontal cortex did not differ significantly (p = .056).”</w:t>
      </w:r>
    </w:p>
    <w:p w14:paraId="1B587EF9" w14:textId="06EE82E6" w:rsidR="00021E46" w:rsidRDefault="00000000">
      <w:pPr>
        <w:pStyle w:val="Heading2"/>
      </w:pPr>
      <w:r>
        <w:t>6.  Two factors at once</w:t>
      </w:r>
      <w:r w:rsidR="008E2B69">
        <w:t xml:space="preserve"> – Two-way ANOVA</w:t>
      </w:r>
    </w:p>
    <w:p w14:paraId="2D0BCF8E" w14:textId="77777777" w:rsidR="00021E46" w:rsidRDefault="00000000">
      <w:r>
        <w:t xml:space="preserve">Now a different question. These mice carry a genetic knockout, and half of each genotype received a drug. </w:t>
      </w:r>
      <w:r>
        <w:rPr>
          <w:b/>
        </w:rPr>
        <w:t>Does the drug help, and does it help everyone equally?</w:t>
      </w:r>
    </w:p>
    <w:p w14:paraId="39263DCC" w14:textId="77777777" w:rsidR="00021E46" w:rsidRDefault="00000000">
      <w:r>
        <w:rPr>
          <w:rFonts w:ascii="Consolas" w:hAnsi="Consolas"/>
          <w:sz w:val="20"/>
        </w:rPr>
        <w:t>ANOVA</w:t>
      </w:r>
      <w:r>
        <w:t xml:space="preserve"> → </w:t>
      </w:r>
      <w:r>
        <w:rPr>
          <w:rFonts w:ascii="Consolas" w:hAnsi="Consolas"/>
          <w:sz w:val="20"/>
        </w:rPr>
        <w:t>Two-Way ANOVA</w:t>
      </w:r>
      <w:r>
        <w:t>:</w:t>
      </w:r>
    </w:p>
    <w:p w14:paraId="0B1D9254" w14:textId="76F0B269" w:rsidR="00021E46" w:rsidRDefault="00000000" w:rsidP="008E2B69">
      <w:pPr>
        <w:pStyle w:val="ListNumber"/>
        <w:numPr>
          <w:ilvl w:val="0"/>
          <w:numId w:val="11"/>
        </w:numPr>
        <w:spacing w:after="60"/>
      </w:pPr>
      <w:r w:rsidRPr="008E2B69">
        <w:rPr>
          <w:rFonts w:ascii="Consolas" w:hAnsi="Consolas"/>
          <w:sz w:val="20"/>
        </w:rPr>
        <w:t>Dependent Variable (Numeric)</w:t>
      </w:r>
      <w:r>
        <w:t xml:space="preserve"> → </w:t>
      </w:r>
      <w:r w:rsidRPr="008E2B69">
        <w:rPr>
          <w:rFonts w:ascii="Consolas" w:hAnsi="Consolas"/>
          <w:sz w:val="20"/>
        </w:rPr>
        <w:t>FiringRate_Hz</w:t>
      </w:r>
    </w:p>
    <w:p w14:paraId="0883647B" w14:textId="77777777" w:rsidR="00021E46" w:rsidRDefault="00000000">
      <w:pPr>
        <w:pStyle w:val="ListNumber"/>
        <w:spacing w:after="60"/>
      </w:pPr>
      <w:r>
        <w:rPr>
          <w:rFonts w:ascii="Consolas" w:hAnsi="Consolas"/>
          <w:sz w:val="20"/>
        </w:rPr>
        <w:t>Factor 1</w:t>
      </w:r>
      <w:r>
        <w:t xml:space="preserve"> → </w:t>
      </w:r>
      <w:r>
        <w:rPr>
          <w:rFonts w:ascii="Consolas" w:hAnsi="Consolas"/>
          <w:sz w:val="20"/>
        </w:rPr>
        <w:t>Genotype</w:t>
      </w:r>
    </w:p>
    <w:p w14:paraId="33B26C7F" w14:textId="77777777" w:rsidR="00021E46" w:rsidRPr="008E2B69" w:rsidRDefault="00000000">
      <w:pPr>
        <w:pStyle w:val="ListNumber"/>
        <w:spacing w:after="180"/>
      </w:pPr>
      <w:r>
        <w:rPr>
          <w:rFonts w:ascii="Consolas" w:hAnsi="Consolas"/>
          <w:sz w:val="20"/>
        </w:rPr>
        <w:t>Factor 2</w:t>
      </w:r>
      <w:r>
        <w:t xml:space="preserve"> → </w:t>
      </w:r>
      <w:r>
        <w:rPr>
          <w:rFonts w:ascii="Consolas" w:hAnsi="Consolas"/>
          <w:sz w:val="20"/>
        </w:rPr>
        <w:t>Treatment</w:t>
      </w:r>
    </w:p>
    <w:p w14:paraId="02A8205F" w14:textId="77777777" w:rsidR="008E2B69" w:rsidRDefault="008E2B69" w:rsidP="008E2B69">
      <w:pPr>
        <w:pStyle w:val="ListNumber"/>
        <w:numPr>
          <w:ilvl w:val="0"/>
          <w:numId w:val="0"/>
        </w:numPr>
        <w:spacing w:after="180"/>
        <w:ind w:left="360" w:hanging="360"/>
        <w:rPr>
          <w:rFonts w:ascii="Consolas" w:hAnsi="Consolas"/>
          <w:sz w:val="20"/>
        </w:rPr>
      </w:pPr>
    </w:p>
    <w:p w14:paraId="0B38D604" w14:textId="294BADF9" w:rsidR="008E2B69" w:rsidRDefault="008E2B69" w:rsidP="008E2B69">
      <w:pPr>
        <w:pStyle w:val="ListNumber"/>
        <w:numPr>
          <w:ilvl w:val="0"/>
          <w:numId w:val="0"/>
        </w:numPr>
        <w:spacing w:after="180"/>
        <w:ind w:left="360" w:hanging="360"/>
      </w:pPr>
      <w:r w:rsidRPr="008E2B69">
        <w:rPr>
          <w:noProof/>
        </w:rPr>
        <w:drawing>
          <wp:inline distT="0" distB="0" distL="0" distR="0" wp14:anchorId="575DED6A" wp14:editId="43EC3854">
            <wp:extent cx="4869712" cy="3479992"/>
            <wp:effectExtent l="0" t="0" r="0" b="0"/>
            <wp:docPr id="957769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69462" name=""/>
                    <pic:cNvPicPr/>
                  </pic:nvPicPr>
                  <pic:blipFill>
                    <a:blip r:embed="rId11"/>
                    <a:stretch>
                      <a:fillRect/>
                    </a:stretch>
                  </pic:blipFill>
                  <pic:spPr>
                    <a:xfrm>
                      <a:off x="0" y="0"/>
                      <a:ext cx="4885628" cy="3491366"/>
                    </a:xfrm>
                    <a:prstGeom prst="rect">
                      <a:avLst/>
                    </a:prstGeom>
                  </pic:spPr>
                </pic:pic>
              </a:graphicData>
            </a:graphic>
          </wp:inline>
        </w:drawing>
      </w:r>
    </w:p>
    <w:p w14:paraId="5EF9053F" w14:textId="77777777" w:rsidR="00021E46" w:rsidRDefault="00000000">
      <w:r>
        <w:lastRenderedPageBreak/>
        <w:t>A two-way ANOVA gives you three answers at once:</w:t>
      </w:r>
    </w:p>
    <w:tbl>
      <w:tblPr>
        <w:tblStyle w:val="TableGrid"/>
        <w:tblW w:w="0" w:type="auto"/>
        <w:jc w:val="center"/>
        <w:tblLook w:val="04A0" w:firstRow="1" w:lastRow="0" w:firstColumn="1" w:lastColumn="0" w:noHBand="0" w:noVBand="1"/>
      </w:tblPr>
      <w:tblGrid>
        <w:gridCol w:w="2381"/>
        <w:gridCol w:w="3742"/>
        <w:gridCol w:w="3061"/>
      </w:tblGrid>
      <w:tr w:rsidR="00021E46" w14:paraId="05AFBE09" w14:textId="77777777">
        <w:trPr>
          <w:tblHeader/>
          <w:jc w:val="center"/>
        </w:trPr>
        <w:tc>
          <w:tcPr>
            <w:tcW w:w="2381" w:type="dxa"/>
            <w:shd w:val="clear" w:color="auto" w:fill="E8EFFC"/>
          </w:tcPr>
          <w:p w14:paraId="124B3C2C" w14:textId="77777777" w:rsidR="00021E46" w:rsidRDefault="00000000">
            <w:pPr>
              <w:spacing w:before="60" w:after="60"/>
            </w:pPr>
            <w:r>
              <w:rPr>
                <w:b/>
                <w:sz w:val="19"/>
              </w:rPr>
              <w:t>Effect</w:t>
            </w:r>
          </w:p>
        </w:tc>
        <w:tc>
          <w:tcPr>
            <w:tcW w:w="3742" w:type="dxa"/>
            <w:shd w:val="clear" w:color="auto" w:fill="E8EFFC"/>
          </w:tcPr>
          <w:p w14:paraId="6B50283E" w14:textId="77777777" w:rsidR="00021E46" w:rsidRDefault="00000000">
            <w:pPr>
              <w:spacing w:before="60" w:after="60"/>
            </w:pPr>
            <w:r>
              <w:rPr>
                <w:b/>
                <w:sz w:val="19"/>
              </w:rPr>
              <w:t>The question it answers</w:t>
            </w:r>
          </w:p>
        </w:tc>
        <w:tc>
          <w:tcPr>
            <w:tcW w:w="3061" w:type="dxa"/>
            <w:shd w:val="clear" w:color="auto" w:fill="E8EFFC"/>
          </w:tcPr>
          <w:p w14:paraId="7D24BE91" w14:textId="77777777" w:rsidR="00021E46" w:rsidRDefault="00000000">
            <w:pPr>
              <w:spacing w:before="60" w:after="60"/>
            </w:pPr>
            <w:r>
              <w:rPr>
                <w:b/>
                <w:sz w:val="19"/>
              </w:rPr>
              <w:t>Ours</w:t>
            </w:r>
          </w:p>
        </w:tc>
      </w:tr>
      <w:tr w:rsidR="00021E46" w14:paraId="2777A5A6" w14:textId="77777777">
        <w:trPr>
          <w:jc w:val="center"/>
        </w:trPr>
        <w:tc>
          <w:tcPr>
            <w:tcW w:w="2381" w:type="dxa"/>
          </w:tcPr>
          <w:p w14:paraId="421A0E66" w14:textId="77777777" w:rsidR="00021E46" w:rsidRDefault="00000000">
            <w:pPr>
              <w:spacing w:before="60" w:after="60"/>
            </w:pPr>
            <w:r>
              <w:rPr>
                <w:b/>
                <w:sz w:val="19"/>
              </w:rPr>
              <w:t>Main effect of Genotype</w:t>
            </w:r>
          </w:p>
        </w:tc>
        <w:tc>
          <w:tcPr>
            <w:tcW w:w="3742" w:type="dxa"/>
          </w:tcPr>
          <w:p w14:paraId="7CA7428E" w14:textId="77777777" w:rsidR="00021E46" w:rsidRDefault="00000000">
            <w:pPr>
              <w:spacing w:before="60" w:after="60"/>
            </w:pPr>
            <w:r>
              <w:rPr>
                <w:sz w:val="19"/>
              </w:rPr>
              <w:t>Ignoring treatment, do WT and knockout mice differ?</w:t>
            </w:r>
          </w:p>
        </w:tc>
        <w:tc>
          <w:tcPr>
            <w:tcW w:w="3061" w:type="dxa"/>
          </w:tcPr>
          <w:p w14:paraId="37B14A2E" w14:textId="77777777" w:rsidR="00021E46" w:rsidRDefault="00000000">
            <w:pPr>
              <w:spacing w:before="60" w:after="60"/>
            </w:pPr>
            <w:r>
              <w:rPr>
                <w:sz w:val="19"/>
              </w:rPr>
              <w:t>F(1) = 32.71, p &lt; .001, η² = 0.147</w:t>
            </w:r>
          </w:p>
        </w:tc>
      </w:tr>
      <w:tr w:rsidR="00021E46" w14:paraId="4D7051E7" w14:textId="77777777">
        <w:trPr>
          <w:jc w:val="center"/>
        </w:trPr>
        <w:tc>
          <w:tcPr>
            <w:tcW w:w="2381" w:type="dxa"/>
          </w:tcPr>
          <w:p w14:paraId="341A8A1A" w14:textId="77777777" w:rsidR="00021E46" w:rsidRDefault="00000000">
            <w:pPr>
              <w:spacing w:before="60" w:after="60"/>
            </w:pPr>
            <w:r>
              <w:rPr>
                <w:b/>
                <w:sz w:val="19"/>
              </w:rPr>
              <w:t>Main effect of Treatment</w:t>
            </w:r>
          </w:p>
        </w:tc>
        <w:tc>
          <w:tcPr>
            <w:tcW w:w="3742" w:type="dxa"/>
          </w:tcPr>
          <w:p w14:paraId="7930D525" w14:textId="77777777" w:rsidR="00021E46" w:rsidRDefault="00000000">
            <w:pPr>
              <w:spacing w:before="60" w:after="60"/>
            </w:pPr>
            <w:r>
              <w:rPr>
                <w:sz w:val="19"/>
              </w:rPr>
              <w:t>Ignoring genotype, does the drug change firing rate?</w:t>
            </w:r>
          </w:p>
        </w:tc>
        <w:tc>
          <w:tcPr>
            <w:tcW w:w="3061" w:type="dxa"/>
          </w:tcPr>
          <w:p w14:paraId="616DD424" w14:textId="77777777" w:rsidR="00021E46" w:rsidRDefault="00000000">
            <w:pPr>
              <w:spacing w:before="60" w:after="60"/>
            </w:pPr>
            <w:r>
              <w:rPr>
                <w:sz w:val="19"/>
              </w:rPr>
              <w:t>F(1) = 6.46, p = .012, η² = 0.029</w:t>
            </w:r>
          </w:p>
        </w:tc>
      </w:tr>
      <w:tr w:rsidR="00021E46" w14:paraId="0C6FBF5B" w14:textId="77777777">
        <w:trPr>
          <w:jc w:val="center"/>
        </w:trPr>
        <w:tc>
          <w:tcPr>
            <w:tcW w:w="2381" w:type="dxa"/>
          </w:tcPr>
          <w:p w14:paraId="6902E92D" w14:textId="77777777" w:rsidR="00021E46" w:rsidRDefault="00000000">
            <w:pPr>
              <w:spacing w:before="60" w:after="60"/>
            </w:pPr>
            <w:r>
              <w:rPr>
                <w:b/>
                <w:sz w:val="19"/>
              </w:rPr>
              <w:t>Interaction</w:t>
            </w:r>
          </w:p>
        </w:tc>
        <w:tc>
          <w:tcPr>
            <w:tcW w:w="3742" w:type="dxa"/>
          </w:tcPr>
          <w:p w14:paraId="2FB85085" w14:textId="77777777" w:rsidR="00021E46" w:rsidRDefault="00000000">
            <w:pPr>
              <w:spacing w:before="60" w:after="60"/>
            </w:pPr>
            <w:r>
              <w:rPr>
                <w:sz w:val="19"/>
              </w:rPr>
              <w:t xml:space="preserve">Does the drug's effect </w:t>
            </w:r>
            <w:r>
              <w:rPr>
                <w:i/>
                <w:sz w:val="19"/>
              </w:rPr>
              <w:t>depend on</w:t>
            </w:r>
            <w:r>
              <w:rPr>
                <w:sz w:val="19"/>
              </w:rPr>
              <w:t xml:space="preserve"> genotype?</w:t>
            </w:r>
          </w:p>
        </w:tc>
        <w:tc>
          <w:tcPr>
            <w:tcW w:w="3061" w:type="dxa"/>
          </w:tcPr>
          <w:p w14:paraId="4CF5CABE" w14:textId="77777777" w:rsidR="00021E46" w:rsidRDefault="00000000">
            <w:pPr>
              <w:spacing w:before="60" w:after="60"/>
            </w:pPr>
            <w:r>
              <w:rPr>
                <w:sz w:val="19"/>
              </w:rPr>
              <w:t>F(1) = 7.45, p = .007, η² = 0.033</w:t>
            </w:r>
          </w:p>
        </w:tc>
      </w:tr>
    </w:tbl>
    <w:p w14:paraId="360CC1DA" w14:textId="77777777" w:rsidR="00021E46" w:rsidRDefault="00021E46">
      <w:pPr>
        <w:spacing w:after="40"/>
      </w:pPr>
    </w:p>
    <w:p w14:paraId="2275A017" w14:textId="77777777" w:rsidR="00021E46" w:rsidRDefault="00000000">
      <w:r>
        <w:rPr>
          <w:color w:val="5B6471"/>
          <w:sz w:val="20"/>
        </w:rPr>
        <w:t xml:space="preserve">The two-way table prints each effect's own df in the brackets and the leftover </w:t>
      </w:r>
      <w:r>
        <w:rPr>
          <w:rFonts w:ascii="Consolas" w:hAnsi="Consolas"/>
          <w:color w:val="5B6471"/>
          <w:sz w:val="18"/>
        </w:rPr>
        <w:t>Residual</w:t>
      </w:r>
      <w:r>
        <w:rPr>
          <w:color w:val="5B6471"/>
          <w:sz w:val="20"/>
        </w:rPr>
        <w:t xml:space="preserve"> df on its own line underneath — 176 here — so you report these as F(1, 176). Note that this table reports </w:t>
      </w:r>
      <w:r>
        <w:rPr>
          <w:b/>
          <w:color w:val="5B6471"/>
          <w:sz w:val="20"/>
        </w:rPr>
        <w:t>η²</w:t>
      </w:r>
      <w:r>
        <w:rPr>
          <w:color w:val="5B6471"/>
          <w:sz w:val="20"/>
        </w:rPr>
        <w:t xml:space="preserve"> (each effect's share of the total variation), not partial η²; say which one you are quoting.</w:t>
      </w:r>
    </w:p>
    <w:p w14:paraId="158B484F" w14:textId="77777777" w:rsidR="00021E46" w:rsidRDefault="00000000">
      <w:pPr>
        <w:pStyle w:val="Heading3"/>
      </w:pPr>
      <w:r>
        <w:t>The interaction is the interesting one</w:t>
      </w:r>
    </w:p>
    <w:tbl>
      <w:tblPr>
        <w:tblStyle w:val="TableGrid"/>
        <w:tblW w:w="0" w:type="auto"/>
        <w:jc w:val="center"/>
        <w:tblLook w:val="04A0" w:firstRow="1" w:lastRow="0" w:firstColumn="1" w:lastColumn="0" w:noHBand="0" w:noVBand="1"/>
      </w:tblPr>
      <w:tblGrid>
        <w:gridCol w:w="2494"/>
        <w:gridCol w:w="3345"/>
        <w:gridCol w:w="3345"/>
      </w:tblGrid>
      <w:tr w:rsidR="00021E46" w14:paraId="37FCC7C5" w14:textId="77777777">
        <w:trPr>
          <w:tblHeader/>
          <w:jc w:val="center"/>
        </w:trPr>
        <w:tc>
          <w:tcPr>
            <w:tcW w:w="2494" w:type="dxa"/>
            <w:shd w:val="clear" w:color="auto" w:fill="E8EFFC"/>
          </w:tcPr>
          <w:p w14:paraId="1B61A9C9" w14:textId="77777777" w:rsidR="00021E46" w:rsidRDefault="00021E46">
            <w:pPr>
              <w:spacing w:before="60" w:after="60"/>
            </w:pPr>
          </w:p>
        </w:tc>
        <w:tc>
          <w:tcPr>
            <w:tcW w:w="3345" w:type="dxa"/>
            <w:shd w:val="clear" w:color="auto" w:fill="E8EFFC"/>
          </w:tcPr>
          <w:p w14:paraId="0CBB4882" w14:textId="77777777" w:rsidR="00021E46" w:rsidRDefault="00000000">
            <w:pPr>
              <w:spacing w:before="60" w:after="60"/>
            </w:pPr>
            <w:r>
              <w:rPr>
                <w:rFonts w:ascii="Consolas" w:hAnsi="Consolas"/>
                <w:b/>
                <w:sz w:val="17"/>
              </w:rPr>
              <w:t>Vehicle</w:t>
            </w:r>
          </w:p>
        </w:tc>
        <w:tc>
          <w:tcPr>
            <w:tcW w:w="3345" w:type="dxa"/>
            <w:shd w:val="clear" w:color="auto" w:fill="E8EFFC"/>
          </w:tcPr>
          <w:p w14:paraId="07D95775" w14:textId="77777777" w:rsidR="00021E46" w:rsidRDefault="00000000">
            <w:pPr>
              <w:spacing w:before="60" w:after="60"/>
            </w:pPr>
            <w:r>
              <w:rPr>
                <w:rFonts w:ascii="Consolas" w:hAnsi="Consolas"/>
                <w:b/>
                <w:sz w:val="17"/>
              </w:rPr>
              <w:t>Drug</w:t>
            </w:r>
          </w:p>
        </w:tc>
      </w:tr>
      <w:tr w:rsidR="00021E46" w14:paraId="339406B6" w14:textId="77777777">
        <w:trPr>
          <w:jc w:val="center"/>
        </w:trPr>
        <w:tc>
          <w:tcPr>
            <w:tcW w:w="2494" w:type="dxa"/>
          </w:tcPr>
          <w:p w14:paraId="7788A71B" w14:textId="77777777" w:rsidR="00021E46" w:rsidRDefault="00000000">
            <w:pPr>
              <w:spacing w:before="60" w:after="60"/>
            </w:pPr>
            <w:r>
              <w:rPr>
                <w:rFonts w:ascii="Consolas" w:hAnsi="Consolas"/>
                <w:sz w:val="17"/>
              </w:rPr>
              <w:t>WT</w:t>
            </w:r>
          </w:p>
        </w:tc>
        <w:tc>
          <w:tcPr>
            <w:tcW w:w="3345" w:type="dxa"/>
          </w:tcPr>
          <w:p w14:paraId="507FAF25" w14:textId="77777777" w:rsidR="00021E46" w:rsidRDefault="00000000">
            <w:pPr>
              <w:spacing w:before="60" w:after="60"/>
            </w:pPr>
            <w:r>
              <w:rPr>
                <w:sz w:val="19"/>
              </w:rPr>
              <w:t>6.14</w:t>
            </w:r>
          </w:p>
        </w:tc>
        <w:tc>
          <w:tcPr>
            <w:tcW w:w="3345" w:type="dxa"/>
          </w:tcPr>
          <w:p w14:paraId="4D6EED57" w14:textId="77777777" w:rsidR="00021E46" w:rsidRDefault="00000000">
            <w:pPr>
              <w:spacing w:before="60" w:after="60"/>
            </w:pPr>
            <w:r>
              <w:rPr>
                <w:sz w:val="19"/>
              </w:rPr>
              <w:t>6.09  (no change)</w:t>
            </w:r>
          </w:p>
        </w:tc>
      </w:tr>
      <w:tr w:rsidR="00021E46" w14:paraId="4A0A8752" w14:textId="77777777">
        <w:trPr>
          <w:jc w:val="center"/>
        </w:trPr>
        <w:tc>
          <w:tcPr>
            <w:tcW w:w="2494" w:type="dxa"/>
          </w:tcPr>
          <w:p w14:paraId="50D2415E" w14:textId="77777777" w:rsidR="00021E46" w:rsidRDefault="00000000">
            <w:pPr>
              <w:spacing w:before="60" w:after="60"/>
            </w:pPr>
            <w:r>
              <w:rPr>
                <w:rFonts w:ascii="Consolas" w:hAnsi="Consolas"/>
                <w:sz w:val="17"/>
              </w:rPr>
              <w:t>Shank3-KO</w:t>
            </w:r>
          </w:p>
        </w:tc>
        <w:tc>
          <w:tcPr>
            <w:tcW w:w="3345" w:type="dxa"/>
          </w:tcPr>
          <w:p w14:paraId="2D229767" w14:textId="77777777" w:rsidR="00021E46" w:rsidRDefault="00000000">
            <w:pPr>
              <w:spacing w:before="60" w:after="60"/>
            </w:pPr>
            <w:r>
              <w:rPr>
                <w:sz w:val="19"/>
              </w:rPr>
              <w:t>3.82</w:t>
            </w:r>
          </w:p>
        </w:tc>
        <w:tc>
          <w:tcPr>
            <w:tcW w:w="3345" w:type="dxa"/>
          </w:tcPr>
          <w:p w14:paraId="2317259C" w14:textId="77777777" w:rsidR="00021E46" w:rsidRDefault="00000000">
            <w:pPr>
              <w:spacing w:before="60" w:after="60"/>
            </w:pPr>
            <w:r>
              <w:rPr>
                <w:sz w:val="19"/>
              </w:rPr>
              <w:t>5.27  (a large rise)</w:t>
            </w:r>
          </w:p>
        </w:tc>
      </w:tr>
    </w:tbl>
    <w:p w14:paraId="10F630BB" w14:textId="77777777" w:rsidR="00021E46" w:rsidRDefault="00021E46">
      <w:pPr>
        <w:spacing w:after="40"/>
      </w:pPr>
    </w:p>
    <w:p w14:paraId="4FB8248A" w14:textId="77777777" w:rsidR="00021E46" w:rsidRDefault="00000000">
      <w:r>
        <w:t xml:space="preserve">Read across the rows. The drug does essentially nothing to normal mice, but lifts the knockout mice most of the way back to normal. </w:t>
      </w:r>
      <w:r>
        <w:rPr>
          <w:b/>
        </w:rPr>
        <w:t>That</w:t>
      </w:r>
      <w:r>
        <w:t xml:space="preserve"> is what a significant interaction means, and it is a far more useful finding than either main effect on its own.</w:t>
      </w:r>
    </w:p>
    <w:tbl>
      <w:tblPr>
        <w:tblW w:w="0" w:type="auto"/>
        <w:tblLook w:val="04A0" w:firstRow="1" w:lastRow="0" w:firstColumn="1" w:lastColumn="0" w:noHBand="0" w:noVBand="1"/>
      </w:tblPr>
      <w:tblGrid>
        <w:gridCol w:w="9411"/>
      </w:tblGrid>
      <w:tr w:rsidR="00021E46" w14:paraId="5920AD6F" w14:textId="77777777">
        <w:tc>
          <w:tcPr>
            <w:tcW w:w="9411" w:type="dxa"/>
            <w:tcBorders>
              <w:top w:val="single" w:sz="6" w:space="0" w:color="E8A33D"/>
              <w:left w:val="single" w:sz="6" w:space="0" w:color="E8A33D"/>
              <w:bottom w:val="single" w:sz="6" w:space="0" w:color="E8A33D"/>
              <w:right w:val="single" w:sz="6" w:space="0" w:color="E8A33D"/>
            </w:tcBorders>
            <w:shd w:val="clear" w:color="auto" w:fill="FDF3E3"/>
          </w:tcPr>
          <w:p w14:paraId="665E9B38" w14:textId="77777777" w:rsidR="00021E46" w:rsidRDefault="00000000">
            <w:pPr>
              <w:spacing w:before="80" w:after="40"/>
            </w:pPr>
            <w:r>
              <w:rPr>
                <w:b/>
                <w:sz w:val="20"/>
              </w:rPr>
              <w:t>When there is an interaction, be careful with the main effects</w:t>
            </w:r>
          </w:p>
          <w:p w14:paraId="5675B26C" w14:textId="77777777" w:rsidR="00021E46" w:rsidRDefault="00000000">
            <w:pPr>
              <w:spacing w:after="60"/>
            </w:pPr>
            <w:r>
              <w:rPr>
                <w:sz w:val="20"/>
              </w:rPr>
              <w:t>The main effect of Treatment says the drug 'works' on average — but averaged across two groups it does completely different things to. Once an interaction is significant, describe the pattern first and treat the main effects as background.</w:t>
            </w:r>
          </w:p>
          <w:p w14:paraId="7C4AB578" w14:textId="77777777" w:rsidR="00021E46" w:rsidRDefault="00000000">
            <w:pPr>
              <w:spacing w:after="120"/>
            </w:pPr>
            <w:r>
              <w:rPr>
                <w:sz w:val="20"/>
              </w:rPr>
              <w:t xml:space="preserve">The clearest way to show this is a plot: on the </w:t>
            </w:r>
            <w:r>
              <w:rPr>
                <w:rFonts w:ascii="Consolas" w:hAnsi="Consolas"/>
                <w:sz w:val="18"/>
              </w:rPr>
              <w:t>Plotting</w:t>
            </w:r>
            <w:r>
              <w:rPr>
                <w:sz w:val="20"/>
              </w:rPr>
              <w:t xml:space="preserve"> tab, put </w:t>
            </w:r>
            <w:r>
              <w:rPr>
                <w:rFonts w:ascii="Consolas" w:hAnsi="Consolas"/>
                <w:sz w:val="18"/>
              </w:rPr>
              <w:t>Treatment</w:t>
            </w:r>
            <w:r>
              <w:rPr>
                <w:sz w:val="20"/>
              </w:rPr>
              <w:t xml:space="preserve"> on the X axis, </w:t>
            </w:r>
            <w:r>
              <w:rPr>
                <w:rFonts w:ascii="Consolas" w:hAnsi="Consolas"/>
                <w:sz w:val="18"/>
              </w:rPr>
              <w:t>FiringRate_Hz</w:t>
            </w:r>
            <w:r>
              <w:rPr>
                <w:sz w:val="20"/>
              </w:rPr>
              <w:t xml:space="preserve"> on the Y axis, and set </w:t>
            </w:r>
            <w:r>
              <w:rPr>
                <w:rFonts w:ascii="Consolas" w:hAnsi="Consolas"/>
                <w:sz w:val="18"/>
              </w:rPr>
              <w:t>Group By</w:t>
            </w:r>
            <w:r>
              <w:rPr>
                <w:sz w:val="20"/>
              </w:rPr>
              <w:t xml:space="preserve"> to </w:t>
            </w:r>
            <w:r>
              <w:rPr>
                <w:rFonts w:ascii="Consolas" w:hAnsi="Consolas"/>
                <w:sz w:val="18"/>
              </w:rPr>
              <w:t>Genotype</w:t>
            </w:r>
            <w:r>
              <w:rPr>
                <w:sz w:val="20"/>
              </w:rPr>
              <w:t>. Non-parallel lines are an interaction.</w:t>
            </w:r>
          </w:p>
        </w:tc>
      </w:tr>
    </w:tbl>
    <w:p w14:paraId="05BC9977" w14:textId="77777777" w:rsidR="00021E46" w:rsidRDefault="00000000">
      <w:pPr>
        <w:pStyle w:val="Heading2"/>
      </w:pPr>
      <w:r>
        <w:t>7.  Now try it yourself</w:t>
      </w:r>
    </w:p>
    <w:tbl>
      <w:tblPr>
        <w:tblStyle w:val="TableGrid"/>
        <w:tblW w:w="0" w:type="auto"/>
        <w:jc w:val="center"/>
        <w:tblLook w:val="04A0" w:firstRow="1" w:lastRow="0" w:firstColumn="1" w:lastColumn="0" w:noHBand="0" w:noVBand="1"/>
      </w:tblPr>
      <w:tblGrid>
        <w:gridCol w:w="3855"/>
        <w:gridCol w:w="5329"/>
      </w:tblGrid>
      <w:tr w:rsidR="00021E46" w14:paraId="1014FA0C" w14:textId="77777777">
        <w:trPr>
          <w:tblHeader/>
          <w:jc w:val="center"/>
        </w:trPr>
        <w:tc>
          <w:tcPr>
            <w:tcW w:w="3855" w:type="dxa"/>
            <w:shd w:val="clear" w:color="auto" w:fill="E8EFFC"/>
          </w:tcPr>
          <w:p w14:paraId="2F581205" w14:textId="77777777" w:rsidR="00021E46" w:rsidRDefault="00000000">
            <w:pPr>
              <w:spacing w:before="60" w:after="60"/>
            </w:pPr>
            <w:r>
              <w:rPr>
                <w:b/>
                <w:sz w:val="19"/>
              </w:rPr>
              <w:t>Try this</w:t>
            </w:r>
          </w:p>
        </w:tc>
        <w:tc>
          <w:tcPr>
            <w:tcW w:w="5329" w:type="dxa"/>
            <w:shd w:val="clear" w:color="auto" w:fill="E8EFFC"/>
          </w:tcPr>
          <w:p w14:paraId="60B80E99" w14:textId="77777777" w:rsidR="00021E46" w:rsidRDefault="00000000">
            <w:pPr>
              <w:spacing w:before="60" w:after="60"/>
            </w:pPr>
            <w:r>
              <w:rPr>
                <w:b/>
                <w:sz w:val="19"/>
              </w:rPr>
              <w:t>The question you are asking</w:t>
            </w:r>
          </w:p>
        </w:tc>
      </w:tr>
      <w:tr w:rsidR="00021E46" w14:paraId="6F759C2A" w14:textId="77777777">
        <w:trPr>
          <w:jc w:val="center"/>
        </w:trPr>
        <w:tc>
          <w:tcPr>
            <w:tcW w:w="3855" w:type="dxa"/>
          </w:tcPr>
          <w:p w14:paraId="0FC95882" w14:textId="77777777" w:rsidR="00021E46" w:rsidRDefault="00000000">
            <w:pPr>
              <w:spacing w:before="60" w:after="60"/>
            </w:pPr>
            <w:r>
              <w:rPr>
                <w:sz w:val="19"/>
              </w:rPr>
              <w:t xml:space="preserve">One-way: </w:t>
            </w:r>
            <w:r>
              <w:rPr>
                <w:rFonts w:ascii="Consolas" w:hAnsi="Consolas"/>
                <w:sz w:val="17"/>
              </w:rPr>
              <w:t>MemoryScore_pct</w:t>
            </w:r>
            <w:r>
              <w:rPr>
                <w:sz w:val="19"/>
              </w:rPr>
              <w:t xml:space="preserve"> by </w:t>
            </w:r>
            <w:r>
              <w:rPr>
                <w:rFonts w:ascii="Consolas" w:hAnsi="Consolas"/>
                <w:sz w:val="17"/>
              </w:rPr>
              <w:t>BrainRegion</w:t>
            </w:r>
          </w:p>
        </w:tc>
        <w:tc>
          <w:tcPr>
            <w:tcW w:w="5329" w:type="dxa"/>
          </w:tcPr>
          <w:p w14:paraId="3A5524E8" w14:textId="77777777" w:rsidR="00021E46" w:rsidRDefault="00000000">
            <w:pPr>
              <w:spacing w:before="60" w:after="60"/>
            </w:pPr>
            <w:r>
              <w:rPr>
                <w:sz w:val="19"/>
              </w:rPr>
              <w:t>Levene fails here — watch the Welch and Games-Howell lines appear.</w:t>
            </w:r>
          </w:p>
        </w:tc>
      </w:tr>
      <w:tr w:rsidR="00021E46" w14:paraId="73DA02AA" w14:textId="77777777">
        <w:trPr>
          <w:jc w:val="center"/>
        </w:trPr>
        <w:tc>
          <w:tcPr>
            <w:tcW w:w="3855" w:type="dxa"/>
          </w:tcPr>
          <w:p w14:paraId="0DF4E6D4" w14:textId="77777777" w:rsidR="00021E46" w:rsidRDefault="00000000">
            <w:pPr>
              <w:spacing w:before="60" w:after="60"/>
            </w:pPr>
            <w:r>
              <w:rPr>
                <w:sz w:val="19"/>
              </w:rPr>
              <w:t xml:space="preserve">One-way: </w:t>
            </w:r>
            <w:r>
              <w:rPr>
                <w:rFonts w:ascii="Consolas" w:hAnsi="Consolas"/>
                <w:sz w:val="17"/>
              </w:rPr>
              <w:t>FiringRate_Hz</w:t>
            </w:r>
            <w:r>
              <w:rPr>
                <w:sz w:val="19"/>
              </w:rPr>
              <w:t xml:space="preserve"> by </w:t>
            </w:r>
            <w:r>
              <w:rPr>
                <w:rFonts w:ascii="Consolas" w:hAnsi="Consolas"/>
                <w:sz w:val="17"/>
              </w:rPr>
              <w:t>Genotype</w:t>
            </w:r>
          </w:p>
        </w:tc>
        <w:tc>
          <w:tcPr>
            <w:tcW w:w="5329" w:type="dxa"/>
          </w:tcPr>
          <w:p w14:paraId="07481854" w14:textId="77777777" w:rsidR="00021E46" w:rsidRDefault="00000000">
            <w:pPr>
              <w:spacing w:before="60" w:after="60"/>
            </w:pPr>
            <w:r>
              <w:rPr>
                <w:sz w:val="19"/>
              </w:rPr>
              <w:t>With two groups only — compare the F to the t from a t-test. F = t².</w:t>
            </w:r>
          </w:p>
        </w:tc>
      </w:tr>
      <w:tr w:rsidR="00021E46" w14:paraId="15096742" w14:textId="77777777">
        <w:trPr>
          <w:jc w:val="center"/>
        </w:trPr>
        <w:tc>
          <w:tcPr>
            <w:tcW w:w="3855" w:type="dxa"/>
          </w:tcPr>
          <w:p w14:paraId="0DA51DC9" w14:textId="77777777" w:rsidR="00021E46" w:rsidRDefault="00000000">
            <w:pPr>
              <w:spacing w:before="60" w:after="60"/>
            </w:pPr>
            <w:r>
              <w:rPr>
                <w:sz w:val="19"/>
              </w:rPr>
              <w:t xml:space="preserve">Two-way: </w:t>
            </w:r>
            <w:r>
              <w:rPr>
                <w:rFonts w:ascii="Consolas" w:hAnsi="Consolas"/>
                <w:sz w:val="17"/>
              </w:rPr>
              <w:t>MemoryScore_pct</w:t>
            </w:r>
            <w:r>
              <w:rPr>
                <w:sz w:val="19"/>
              </w:rPr>
              <w:t xml:space="preserve"> by </w:t>
            </w:r>
            <w:r>
              <w:rPr>
                <w:rFonts w:ascii="Consolas" w:hAnsi="Consolas"/>
                <w:sz w:val="17"/>
              </w:rPr>
              <w:t>Genotype</w:t>
            </w:r>
            <w:r>
              <w:rPr>
                <w:sz w:val="19"/>
              </w:rPr>
              <w:t xml:space="preserve"> × </w:t>
            </w:r>
            <w:r>
              <w:rPr>
                <w:rFonts w:ascii="Consolas" w:hAnsi="Consolas"/>
                <w:sz w:val="17"/>
              </w:rPr>
              <w:t>Treatment</w:t>
            </w:r>
          </w:p>
        </w:tc>
        <w:tc>
          <w:tcPr>
            <w:tcW w:w="5329" w:type="dxa"/>
          </w:tcPr>
          <w:p w14:paraId="12745C66" w14:textId="77777777" w:rsidR="00021E46" w:rsidRDefault="00000000">
            <w:pPr>
              <w:spacing w:before="60" w:after="60"/>
            </w:pPr>
            <w:r>
              <w:rPr>
                <w:sz w:val="19"/>
              </w:rPr>
              <w:t>Does the drug rescue behaviour as well as firing rate?</w:t>
            </w:r>
          </w:p>
        </w:tc>
      </w:tr>
      <w:tr w:rsidR="00021E46" w14:paraId="690D32CF" w14:textId="77777777">
        <w:trPr>
          <w:jc w:val="center"/>
        </w:trPr>
        <w:tc>
          <w:tcPr>
            <w:tcW w:w="3855" w:type="dxa"/>
          </w:tcPr>
          <w:p w14:paraId="24CB1D47" w14:textId="77777777" w:rsidR="00021E46" w:rsidRDefault="00000000">
            <w:pPr>
              <w:spacing w:before="60" w:after="60"/>
            </w:pPr>
            <w:r>
              <w:rPr>
                <w:sz w:val="19"/>
              </w:rPr>
              <w:t xml:space="preserve">Two-way: </w:t>
            </w:r>
            <w:r>
              <w:rPr>
                <w:rFonts w:ascii="Consolas" w:hAnsi="Consolas"/>
                <w:sz w:val="17"/>
              </w:rPr>
              <w:t>FiringRate_Hz</w:t>
            </w:r>
            <w:r>
              <w:rPr>
                <w:sz w:val="19"/>
              </w:rPr>
              <w:t xml:space="preserve"> by </w:t>
            </w:r>
            <w:r>
              <w:rPr>
                <w:rFonts w:ascii="Consolas" w:hAnsi="Consolas"/>
                <w:sz w:val="17"/>
              </w:rPr>
              <w:t>Genotype</w:t>
            </w:r>
            <w:r>
              <w:rPr>
                <w:sz w:val="19"/>
              </w:rPr>
              <w:t xml:space="preserve"> × </w:t>
            </w:r>
            <w:r>
              <w:rPr>
                <w:rFonts w:ascii="Consolas" w:hAnsi="Consolas"/>
                <w:sz w:val="17"/>
              </w:rPr>
              <w:t>Sex</w:t>
            </w:r>
          </w:p>
        </w:tc>
        <w:tc>
          <w:tcPr>
            <w:tcW w:w="5329" w:type="dxa"/>
          </w:tcPr>
          <w:p w14:paraId="1F2EFF84" w14:textId="77777777" w:rsidR="00021E46" w:rsidRDefault="00000000">
            <w:pPr>
              <w:spacing w:before="60" w:after="60"/>
            </w:pPr>
            <w:r>
              <w:rPr>
                <w:sz w:val="19"/>
              </w:rPr>
              <w:t>Is there a sex difference, and does it interact?</w:t>
            </w:r>
          </w:p>
        </w:tc>
      </w:tr>
    </w:tbl>
    <w:p w14:paraId="3A631075" w14:textId="77777777" w:rsidR="00021E46" w:rsidRDefault="00021E46">
      <w:pPr>
        <w:spacing w:after="40"/>
      </w:pPr>
    </w:p>
    <w:p w14:paraId="057B2981" w14:textId="77777777" w:rsidR="00021E46" w:rsidRDefault="00000000">
      <w:r>
        <w:t>Two things to notice:</w:t>
      </w:r>
    </w:p>
    <w:p w14:paraId="60F3FAE6" w14:textId="77777777" w:rsidR="00021E46" w:rsidRDefault="00000000">
      <w:pPr>
        <w:pStyle w:val="ListBullet"/>
        <w:spacing w:after="60"/>
      </w:pPr>
      <w:r>
        <w:rPr>
          <w:b/>
        </w:rPr>
        <w:t>With two groups, ANOVA and the t-test are the same test.</w:t>
      </w:r>
      <w:r>
        <w:t xml:space="preserve"> Square the t from Guide 2's design and you get F. ANOVA is the general case.</w:t>
      </w:r>
    </w:p>
    <w:p w14:paraId="0AED3CDF" w14:textId="77777777" w:rsidR="00021E46" w:rsidRDefault="00000000">
      <w:pPr>
        <w:pStyle w:val="ListBullet"/>
        <w:spacing w:after="180"/>
      </w:pPr>
      <w:r>
        <w:rPr>
          <w:b/>
        </w:rPr>
        <w:t>Not every interaction is significant.</w:t>
      </w:r>
      <w:r>
        <w:t xml:space="preserve"> When it is not, the two factors act independently and the main effects can be read at face value.</w:t>
      </w:r>
    </w:p>
    <w:sectPr w:rsidR="00021E46" w:rsidSect="00034616">
      <w:footerReference w:type="default" r:id="rId12"/>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E72FD4" w14:textId="77777777" w:rsidR="00262546" w:rsidRDefault="00262546">
      <w:pPr>
        <w:spacing w:after="0" w:line="240" w:lineRule="auto"/>
      </w:pPr>
      <w:r>
        <w:separator/>
      </w:r>
    </w:p>
  </w:endnote>
  <w:endnote w:type="continuationSeparator" w:id="0">
    <w:p w14:paraId="18C695FF" w14:textId="77777777" w:rsidR="00262546" w:rsidRDefault="00262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6348E" w14:textId="77777777" w:rsidR="00021E46" w:rsidRDefault="00000000">
    <w:pPr>
      <w:pStyle w:val="Footer"/>
      <w:jc w:val="center"/>
    </w:pPr>
    <w:r>
      <w:rPr>
        <w:color w:val="5B6471"/>
        <w:sz w:val="16"/>
      </w:rPr>
      <w:t xml:space="preserve">Plotara teaching </w:t>
    </w:r>
    <w:proofErr w:type="gramStart"/>
    <w:r>
      <w:rPr>
        <w:color w:val="5B6471"/>
        <w:sz w:val="16"/>
      </w:rPr>
      <w:t>series  |</w:t>
    </w:r>
    <w:proofErr w:type="gramEnd"/>
    <w:r>
      <w:rPr>
        <w:color w:val="5B6471"/>
        <w:sz w:val="16"/>
      </w:rPr>
      <w:t xml:space="preserve">  One-way and two-way ANOVA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0556DA" w14:textId="77777777" w:rsidR="00262546" w:rsidRDefault="00262546">
      <w:pPr>
        <w:spacing w:after="0" w:line="240" w:lineRule="auto"/>
      </w:pPr>
      <w:r>
        <w:separator/>
      </w:r>
    </w:p>
  </w:footnote>
  <w:footnote w:type="continuationSeparator" w:id="0">
    <w:p w14:paraId="6389410D" w14:textId="77777777" w:rsidR="00262546" w:rsidRDefault="00262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293542">
    <w:abstractNumId w:val="8"/>
  </w:num>
  <w:num w:numId="2" w16cid:durableId="1074815159">
    <w:abstractNumId w:val="6"/>
  </w:num>
  <w:num w:numId="3" w16cid:durableId="974334614">
    <w:abstractNumId w:val="5"/>
  </w:num>
  <w:num w:numId="4" w16cid:durableId="799999949">
    <w:abstractNumId w:val="4"/>
  </w:num>
  <w:num w:numId="5" w16cid:durableId="1380591012">
    <w:abstractNumId w:val="7"/>
  </w:num>
  <w:num w:numId="6" w16cid:durableId="189032917">
    <w:abstractNumId w:val="3"/>
  </w:num>
  <w:num w:numId="7" w16cid:durableId="634482107">
    <w:abstractNumId w:val="2"/>
  </w:num>
  <w:num w:numId="8" w16cid:durableId="293871199">
    <w:abstractNumId w:val="1"/>
  </w:num>
  <w:num w:numId="9" w16cid:durableId="160632637">
    <w:abstractNumId w:val="0"/>
  </w:num>
  <w:num w:numId="10" w16cid:durableId="530846733">
    <w:abstractNumId w:val="7"/>
    <w:lvlOverride w:ilvl="0">
      <w:startOverride w:val="1"/>
    </w:lvlOverride>
  </w:num>
  <w:num w:numId="11" w16cid:durableId="1185628534">
    <w:abstractNumId w:val="7"/>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1E46"/>
    <w:rsid w:val="00034616"/>
    <w:rsid w:val="0006063C"/>
    <w:rsid w:val="000D5E9A"/>
    <w:rsid w:val="0015074B"/>
    <w:rsid w:val="00262546"/>
    <w:rsid w:val="0029639D"/>
    <w:rsid w:val="00326F90"/>
    <w:rsid w:val="005609A4"/>
    <w:rsid w:val="00854CB2"/>
    <w:rsid w:val="008E2B69"/>
    <w:rsid w:val="00AA1D8D"/>
    <w:rsid w:val="00B47730"/>
    <w:rsid w:val="00CB0664"/>
    <w:rsid w:val="00F308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4F833"/>
  <w14:defaultImageDpi w14:val="300"/>
  <w15:docId w15:val="{F7A2257E-AEC0-6B48-98EB-E130D1D46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3</cp:revision>
  <dcterms:created xsi:type="dcterms:W3CDTF">2013-12-23T23:15:00Z</dcterms:created>
  <dcterms:modified xsi:type="dcterms:W3CDTF">2026-07-31T11:18:00Z</dcterms:modified>
  <cp:category/>
</cp:coreProperties>
</file>