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43D847" w14:textId="77777777" w:rsidR="002813CC" w:rsidRDefault="00000000">
      <w:pPr>
        <w:spacing w:after="40"/>
      </w:pPr>
      <w:r>
        <w:rPr>
          <w:b/>
          <w:color w:val="3B6FD4"/>
          <w:sz w:val="19"/>
        </w:rPr>
        <w:t>PLOTARA TEACHING SERIES  ·  GUIDE 4</w:t>
      </w:r>
    </w:p>
    <w:p w14:paraId="5ACCCF31" w14:textId="77777777" w:rsidR="002813CC" w:rsidRDefault="00000000">
      <w:pPr>
        <w:spacing w:after="80"/>
      </w:pPr>
      <w:r>
        <w:rPr>
          <w:b/>
          <w:sz w:val="52"/>
        </w:rPr>
        <w:t>Checking Your Assumptions</w:t>
      </w:r>
    </w:p>
    <w:p w14:paraId="7E357BDD" w14:textId="77777777" w:rsidR="002813CC" w:rsidRDefault="00000000">
      <w:pPr>
        <w:spacing w:after="200"/>
      </w:pPr>
      <w:r>
        <w:rPr>
          <w:color w:val="5B6471"/>
          <w:sz w:val="24"/>
        </w:rPr>
        <w:t>ANOVA, part 1 of 3 — before you run anything</w:t>
      </w:r>
    </w:p>
    <w:p w14:paraId="64DDD128" w14:textId="77777777" w:rsidR="002813CC" w:rsidRDefault="002813CC">
      <w:pPr>
        <w:pBdr>
          <w:bottom w:val="single" w:sz="6" w:space="6" w:color="D6DCE6"/>
        </w:pBdr>
        <w:spacing w:before="40" w:after="40"/>
      </w:pPr>
    </w:p>
    <w:p w14:paraId="2CADDFBF" w14:textId="6CEDE4B3" w:rsidR="002813CC" w:rsidRDefault="00000000">
      <w:pPr>
        <w:spacing w:after="40"/>
      </w:pPr>
      <w:r>
        <w:rPr>
          <w:b/>
          <w:sz w:val="19"/>
        </w:rPr>
        <w:t xml:space="preserve">Dataset:  </w:t>
      </w:r>
      <w:r w:rsidR="00301E6B" w:rsidRPr="00301E6B">
        <w:rPr>
          <w:color w:val="5B6471"/>
          <w:sz w:val="19"/>
        </w:rPr>
        <w:t>Dataset_2_Neuron_study</w:t>
      </w:r>
      <w:r>
        <w:rPr>
          <w:color w:val="5B6471"/>
          <w:sz w:val="19"/>
        </w:rPr>
        <w:t>.csv</w:t>
      </w:r>
    </w:p>
    <w:p w14:paraId="256D71AA" w14:textId="77777777" w:rsidR="002813CC" w:rsidRDefault="002813CC">
      <w:pPr>
        <w:spacing w:after="80"/>
      </w:pPr>
    </w:p>
    <w:p w14:paraId="72AE40F9" w14:textId="77777777" w:rsidR="002813CC" w:rsidRDefault="00000000">
      <w:pPr>
        <w:pStyle w:val="Heading2"/>
      </w:pPr>
      <w:r>
        <w:t>1.  The data</w:t>
      </w:r>
    </w:p>
    <w:p w14:paraId="21FF95D5" w14:textId="77777777" w:rsidR="002813CC" w:rsidRDefault="00000000">
      <w:r>
        <w:t xml:space="preserve">Researchers recorded </w:t>
      </w:r>
      <w:r>
        <w:rPr>
          <w:b/>
        </w:rPr>
        <w:t>180 individual neurons</w:t>
      </w:r>
      <w:r>
        <w:t xml:space="preserve"> from mice — 90 normal (</w:t>
      </w:r>
      <w:r>
        <w:rPr>
          <w:rFonts w:ascii="Consolas" w:hAnsi="Consolas"/>
          <w:sz w:val="20"/>
        </w:rPr>
        <w:t>WT</w:t>
      </w:r>
      <w:r>
        <w:t xml:space="preserve">) and 90 carrying a </w:t>
      </w:r>
      <w:r>
        <w:rPr>
          <w:rFonts w:ascii="Consolas" w:hAnsi="Consolas"/>
          <w:sz w:val="20"/>
        </w:rPr>
        <w:t>Shank3-KO</w:t>
      </w:r>
      <w:r>
        <w:t xml:space="preserve"> genetic knockout, half of each given a drug and half a placebo — and measured how fast each neuron fired. Every neuron was recorded once, so there is </w:t>
      </w:r>
      <w:r>
        <w:rPr>
          <w:b/>
        </w:rPr>
        <w:t>one row per neuron</w:t>
      </w:r>
      <w:r>
        <w:t>.</w:t>
      </w:r>
    </w:p>
    <w:p w14:paraId="6523CC24" w14:textId="261BE34B" w:rsidR="002813CC" w:rsidRDefault="00000000">
      <w:r>
        <w:t xml:space="preserve">Load </w:t>
      </w:r>
      <w:r w:rsidR="00301E6B" w:rsidRPr="00301E6B">
        <w:rPr>
          <w:rFonts w:ascii="Consolas" w:hAnsi="Consolas"/>
          <w:sz w:val="20"/>
        </w:rPr>
        <w:t>Dataset_2_Neuron_study</w:t>
      </w:r>
      <w:r>
        <w:rPr>
          <w:rFonts w:ascii="Consolas" w:hAnsi="Consolas"/>
          <w:sz w:val="20"/>
        </w:rPr>
        <w:t>.csv</w:t>
      </w:r>
      <w:r>
        <w:t xml:space="preserve"> on the </w:t>
      </w:r>
      <w:r>
        <w:rPr>
          <w:rFonts w:ascii="Consolas" w:hAnsi="Consolas"/>
          <w:sz w:val="20"/>
        </w:rPr>
        <w:t>Data</w:t>
      </w:r>
      <w:r>
        <w:t xml:space="preserve"> tab.</w:t>
      </w:r>
    </w:p>
    <w:tbl>
      <w:tblPr>
        <w:tblStyle w:val="TableGrid"/>
        <w:tblW w:w="0" w:type="auto"/>
        <w:jc w:val="center"/>
        <w:tblLook w:val="04A0" w:firstRow="1" w:lastRow="0" w:firstColumn="1" w:lastColumn="0" w:noHBand="0" w:noVBand="1"/>
      </w:tblPr>
      <w:tblGrid>
        <w:gridCol w:w="2268"/>
        <w:gridCol w:w="6917"/>
      </w:tblGrid>
      <w:tr w:rsidR="002813CC" w14:paraId="40277422" w14:textId="77777777">
        <w:trPr>
          <w:tblHeader/>
          <w:jc w:val="center"/>
        </w:trPr>
        <w:tc>
          <w:tcPr>
            <w:tcW w:w="2268" w:type="dxa"/>
            <w:shd w:val="clear" w:color="auto" w:fill="E8EFFC"/>
          </w:tcPr>
          <w:p w14:paraId="295B7106" w14:textId="77777777" w:rsidR="002813CC" w:rsidRDefault="00000000">
            <w:pPr>
              <w:spacing w:before="60" w:after="60"/>
            </w:pPr>
            <w:r>
              <w:rPr>
                <w:b/>
                <w:sz w:val="19"/>
              </w:rPr>
              <w:t>Column</w:t>
            </w:r>
          </w:p>
        </w:tc>
        <w:tc>
          <w:tcPr>
            <w:tcW w:w="6917" w:type="dxa"/>
            <w:shd w:val="clear" w:color="auto" w:fill="E8EFFC"/>
          </w:tcPr>
          <w:p w14:paraId="340BB4E5" w14:textId="77777777" w:rsidR="002813CC" w:rsidRDefault="00000000">
            <w:pPr>
              <w:spacing w:before="60" w:after="60"/>
            </w:pPr>
            <w:r>
              <w:rPr>
                <w:b/>
                <w:sz w:val="19"/>
              </w:rPr>
              <w:t>What it is</w:t>
            </w:r>
          </w:p>
        </w:tc>
      </w:tr>
      <w:tr w:rsidR="002813CC" w14:paraId="2244CDF7" w14:textId="77777777">
        <w:trPr>
          <w:jc w:val="center"/>
        </w:trPr>
        <w:tc>
          <w:tcPr>
            <w:tcW w:w="2268" w:type="dxa"/>
          </w:tcPr>
          <w:p w14:paraId="449F0602" w14:textId="77777777" w:rsidR="002813CC" w:rsidRDefault="00000000">
            <w:pPr>
              <w:spacing w:before="60" w:after="60"/>
            </w:pPr>
            <w:r>
              <w:rPr>
                <w:rFonts w:ascii="Consolas" w:hAnsi="Consolas"/>
                <w:sz w:val="17"/>
              </w:rPr>
              <w:t>BrainRegion</w:t>
            </w:r>
          </w:p>
        </w:tc>
        <w:tc>
          <w:tcPr>
            <w:tcW w:w="6917" w:type="dxa"/>
          </w:tcPr>
          <w:p w14:paraId="23B64369" w14:textId="77777777" w:rsidR="002813CC" w:rsidRDefault="00000000">
            <w:pPr>
              <w:spacing w:before="60" w:after="60"/>
            </w:pPr>
            <w:r>
              <w:rPr>
                <w:sz w:val="19"/>
              </w:rPr>
              <w:t xml:space="preserve">Where the neuron was recorded: </w:t>
            </w:r>
            <w:r>
              <w:rPr>
                <w:rFonts w:ascii="Consolas" w:hAnsi="Consolas"/>
                <w:sz w:val="17"/>
              </w:rPr>
              <w:t>Hippocampus</w:t>
            </w:r>
            <w:r>
              <w:rPr>
                <w:sz w:val="19"/>
              </w:rPr>
              <w:t xml:space="preserve">, </w:t>
            </w:r>
            <w:r>
              <w:rPr>
                <w:rFonts w:ascii="Consolas" w:hAnsi="Consolas"/>
                <w:sz w:val="17"/>
              </w:rPr>
              <w:t>PrefrontalCortex</w:t>
            </w:r>
            <w:r>
              <w:rPr>
                <w:sz w:val="19"/>
              </w:rPr>
              <w:t xml:space="preserve"> or </w:t>
            </w:r>
            <w:r>
              <w:rPr>
                <w:rFonts w:ascii="Consolas" w:hAnsi="Consolas"/>
                <w:sz w:val="17"/>
              </w:rPr>
              <w:t>Amygdala</w:t>
            </w:r>
            <w:r>
              <w:rPr>
                <w:sz w:val="19"/>
              </w:rPr>
              <w:t>.</w:t>
            </w:r>
          </w:p>
        </w:tc>
      </w:tr>
      <w:tr w:rsidR="002813CC" w14:paraId="28F50894" w14:textId="77777777">
        <w:trPr>
          <w:jc w:val="center"/>
        </w:trPr>
        <w:tc>
          <w:tcPr>
            <w:tcW w:w="2268" w:type="dxa"/>
          </w:tcPr>
          <w:p w14:paraId="449E46C2" w14:textId="77777777" w:rsidR="002813CC" w:rsidRDefault="00000000">
            <w:pPr>
              <w:spacing w:before="60" w:after="60"/>
            </w:pPr>
            <w:r>
              <w:rPr>
                <w:rFonts w:ascii="Consolas" w:hAnsi="Consolas"/>
                <w:sz w:val="17"/>
              </w:rPr>
              <w:t>FiringRate_Hz</w:t>
            </w:r>
          </w:p>
        </w:tc>
        <w:tc>
          <w:tcPr>
            <w:tcW w:w="6917" w:type="dxa"/>
          </w:tcPr>
          <w:p w14:paraId="070D6C01" w14:textId="77777777" w:rsidR="002813CC" w:rsidRDefault="00000000">
            <w:pPr>
              <w:spacing w:before="60" w:after="60"/>
            </w:pPr>
            <w:r>
              <w:rPr>
                <w:sz w:val="19"/>
              </w:rPr>
              <w:t>How many times per second the neuron fired.</w:t>
            </w:r>
          </w:p>
        </w:tc>
      </w:tr>
      <w:tr w:rsidR="002813CC" w14:paraId="68782CE8" w14:textId="77777777">
        <w:trPr>
          <w:jc w:val="center"/>
        </w:trPr>
        <w:tc>
          <w:tcPr>
            <w:tcW w:w="2268" w:type="dxa"/>
          </w:tcPr>
          <w:p w14:paraId="5B56E1AB" w14:textId="77777777" w:rsidR="002813CC" w:rsidRDefault="00000000">
            <w:pPr>
              <w:spacing w:before="60" w:after="60"/>
            </w:pPr>
            <w:r>
              <w:rPr>
                <w:rFonts w:ascii="Consolas" w:hAnsi="Consolas"/>
                <w:sz w:val="17"/>
              </w:rPr>
              <w:t>Genotype</w:t>
            </w:r>
            <w:r>
              <w:rPr>
                <w:sz w:val="19"/>
              </w:rPr>
              <w:t xml:space="preserve">, </w:t>
            </w:r>
            <w:r>
              <w:rPr>
                <w:rFonts w:ascii="Consolas" w:hAnsi="Consolas"/>
                <w:sz w:val="17"/>
              </w:rPr>
              <w:t>Treatment</w:t>
            </w:r>
          </w:p>
        </w:tc>
        <w:tc>
          <w:tcPr>
            <w:tcW w:w="6917" w:type="dxa"/>
          </w:tcPr>
          <w:p w14:paraId="2F1C3709" w14:textId="77777777" w:rsidR="002813CC" w:rsidRDefault="00000000">
            <w:pPr>
              <w:spacing w:before="60" w:after="60"/>
            </w:pPr>
            <w:r>
              <w:rPr>
                <w:sz w:val="19"/>
              </w:rPr>
              <w:t>The mouse's genotype (</w:t>
            </w:r>
            <w:r>
              <w:rPr>
                <w:rFonts w:ascii="Consolas" w:hAnsi="Consolas"/>
                <w:sz w:val="17"/>
              </w:rPr>
              <w:t>WT</w:t>
            </w:r>
            <w:r>
              <w:rPr>
                <w:sz w:val="19"/>
              </w:rPr>
              <w:t xml:space="preserve"> or </w:t>
            </w:r>
            <w:r>
              <w:rPr>
                <w:rFonts w:ascii="Consolas" w:hAnsi="Consolas"/>
                <w:sz w:val="17"/>
              </w:rPr>
              <w:t>Shank3-KO</w:t>
            </w:r>
            <w:r>
              <w:rPr>
                <w:sz w:val="19"/>
              </w:rPr>
              <w:t>) and what it was given (</w:t>
            </w:r>
            <w:r>
              <w:rPr>
                <w:rFonts w:ascii="Consolas" w:hAnsi="Consolas"/>
                <w:sz w:val="17"/>
              </w:rPr>
              <w:t>Vehicle</w:t>
            </w:r>
            <w:r>
              <w:rPr>
                <w:sz w:val="19"/>
              </w:rPr>
              <w:t xml:space="preserve"> or </w:t>
            </w:r>
            <w:r>
              <w:rPr>
                <w:rFonts w:ascii="Consolas" w:hAnsi="Consolas"/>
                <w:sz w:val="17"/>
              </w:rPr>
              <w:t>Drug</w:t>
            </w:r>
            <w:r>
              <w:rPr>
                <w:sz w:val="19"/>
              </w:rPr>
              <w:t>). Guide 5 uses these.</w:t>
            </w:r>
          </w:p>
        </w:tc>
      </w:tr>
    </w:tbl>
    <w:p w14:paraId="655FBBE9" w14:textId="77777777" w:rsidR="002813CC" w:rsidRDefault="002813CC">
      <w:pPr>
        <w:spacing w:after="40"/>
      </w:pPr>
    </w:p>
    <w:p w14:paraId="24B8CE9C" w14:textId="77777777" w:rsidR="002813CC" w:rsidRDefault="00000000">
      <w:pPr>
        <w:pStyle w:val="Heading2"/>
      </w:pPr>
      <w:r>
        <w:t>2.  The question</w:t>
      </w:r>
    </w:p>
    <w:p w14:paraId="60DAFEE7" w14:textId="77777777" w:rsidR="002813CC" w:rsidRDefault="00000000">
      <w:r>
        <w:t xml:space="preserve">In Guide 5 we will ask whether firing rate differs between the three brain regions. Before running that test we need to know whether the data </w:t>
      </w:r>
      <w:r>
        <w:rPr>
          <w:b/>
        </w:rPr>
        <w:t>meet the assumptions the test relies on</w:t>
      </w:r>
      <w:r>
        <w:t>. Get in the habit of doing this first — it takes two minutes and it decides which test you are allowed to report.</w:t>
      </w:r>
    </w:p>
    <w:p w14:paraId="4C71C1A7" w14:textId="77777777" w:rsidR="002813CC" w:rsidRDefault="00000000">
      <w:pPr>
        <w:pStyle w:val="ListNumber"/>
        <w:spacing w:after="60"/>
      </w:pPr>
      <w:r>
        <w:t xml:space="preserve">On the </w:t>
      </w:r>
      <w:r>
        <w:rPr>
          <w:rFonts w:ascii="Consolas" w:hAnsi="Consolas"/>
          <w:sz w:val="20"/>
        </w:rPr>
        <w:t>Plotting</w:t>
      </w:r>
      <w:r>
        <w:t xml:space="preserve"> tab, choose </w:t>
      </w:r>
      <w:r>
        <w:rPr>
          <w:rFonts w:ascii="Consolas" w:hAnsi="Consolas"/>
          <w:sz w:val="20"/>
        </w:rPr>
        <w:t>Box Plot</w:t>
      </w:r>
      <w:r>
        <w:t>.</w:t>
      </w:r>
    </w:p>
    <w:p w14:paraId="431F066C" w14:textId="6C3BB7C9" w:rsidR="002813CC" w:rsidRDefault="006241B1">
      <w:pPr>
        <w:pStyle w:val="ListNumber"/>
        <w:spacing w:after="180"/>
      </w:pPr>
      <w:r>
        <w:rPr>
          <w:noProof/>
        </w:rPr>
        <w:drawing>
          <wp:anchor distT="0" distB="0" distL="114300" distR="114300" simplePos="0" relativeHeight="251658240" behindDoc="0" locked="0" layoutInCell="1" allowOverlap="1" wp14:anchorId="71DF9B6D" wp14:editId="5E773153">
            <wp:simplePos x="0" y="0"/>
            <wp:positionH relativeFrom="column">
              <wp:posOffset>650875</wp:posOffset>
            </wp:positionH>
            <wp:positionV relativeFrom="paragraph">
              <wp:posOffset>308610</wp:posOffset>
            </wp:positionV>
            <wp:extent cx="4232910" cy="2520950"/>
            <wp:effectExtent l="0" t="0" r="0" b="6350"/>
            <wp:wrapTopAndBottom/>
            <wp:docPr id="442706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706834" name="Picture 442706834"/>
                    <pic:cNvPicPr/>
                  </pic:nvPicPr>
                  <pic:blipFill>
                    <a:blip r:embed="rId8"/>
                    <a:stretch>
                      <a:fillRect/>
                    </a:stretch>
                  </pic:blipFill>
                  <pic:spPr>
                    <a:xfrm>
                      <a:off x="0" y="0"/>
                      <a:ext cx="4232910" cy="2520950"/>
                    </a:xfrm>
                    <a:prstGeom prst="rect">
                      <a:avLst/>
                    </a:prstGeom>
                  </pic:spPr>
                </pic:pic>
              </a:graphicData>
            </a:graphic>
            <wp14:sizeRelH relativeFrom="page">
              <wp14:pctWidth>0</wp14:pctWidth>
            </wp14:sizeRelH>
            <wp14:sizeRelV relativeFrom="page">
              <wp14:pctHeight>0</wp14:pctHeight>
            </wp14:sizeRelV>
          </wp:anchor>
        </w:drawing>
      </w:r>
      <w:r>
        <w:rPr>
          <w:rFonts w:ascii="Consolas" w:hAnsi="Consolas"/>
          <w:sz w:val="20"/>
        </w:rPr>
        <w:t>X Axis</w:t>
      </w:r>
      <w:r>
        <w:t xml:space="preserve"> → </w:t>
      </w:r>
      <w:proofErr w:type="spellStart"/>
      <w:proofErr w:type="gramStart"/>
      <w:r>
        <w:rPr>
          <w:rFonts w:ascii="Consolas" w:hAnsi="Consolas"/>
          <w:sz w:val="20"/>
        </w:rPr>
        <w:t>BrainRegion</w:t>
      </w:r>
      <w:proofErr w:type="spellEnd"/>
      <w:r>
        <w:t xml:space="preserve">,  </w:t>
      </w:r>
      <w:r>
        <w:rPr>
          <w:rFonts w:ascii="Consolas" w:hAnsi="Consolas"/>
          <w:sz w:val="20"/>
        </w:rPr>
        <w:t>Y</w:t>
      </w:r>
      <w:proofErr w:type="gramEnd"/>
      <w:r>
        <w:rPr>
          <w:rFonts w:ascii="Consolas" w:hAnsi="Consolas"/>
          <w:sz w:val="20"/>
        </w:rPr>
        <w:t xml:space="preserve"> Axis</w:t>
      </w:r>
      <w:r>
        <w:t xml:space="preserve"> → </w:t>
      </w:r>
      <w:proofErr w:type="spellStart"/>
      <w:r>
        <w:rPr>
          <w:rFonts w:ascii="Consolas" w:hAnsi="Consolas"/>
          <w:sz w:val="20"/>
        </w:rPr>
        <w:t>FiringRate_Hz</w:t>
      </w:r>
      <w:proofErr w:type="spellEnd"/>
      <w:r>
        <w:t>.</w:t>
      </w:r>
    </w:p>
    <w:p w14:paraId="69D40F4D" w14:textId="51DB7C48" w:rsidR="006241B1" w:rsidRDefault="006241B1" w:rsidP="006241B1">
      <w:pPr>
        <w:pStyle w:val="ListNumber"/>
        <w:numPr>
          <w:ilvl w:val="0"/>
          <w:numId w:val="0"/>
        </w:numPr>
        <w:spacing w:after="180"/>
      </w:pPr>
    </w:p>
    <w:p w14:paraId="1AA4B0BE" w14:textId="77777777" w:rsidR="002813CC" w:rsidRDefault="00000000">
      <w:pPr>
        <w:spacing w:after="200"/>
      </w:pPr>
      <w:r>
        <w:rPr>
          <w:i/>
          <w:color w:val="5B6471"/>
          <w:sz w:val="18"/>
        </w:rPr>
        <w:t>Figure 1. Firing rate in the three regions.</w:t>
      </w:r>
    </w:p>
    <w:p w14:paraId="3B1D3839" w14:textId="7F726D2E" w:rsidR="002813CC" w:rsidRDefault="00000000">
      <w:r>
        <w:lastRenderedPageBreak/>
        <w:t xml:space="preserve">Before any test, this picture already tells you a lot: the three boxes are </w:t>
      </w:r>
      <w:r>
        <w:rPr>
          <w:b/>
        </w:rPr>
        <w:t>roughly symmetrical</w:t>
      </w:r>
      <w:r>
        <w:t xml:space="preserve"> (not bunched at one end), they are </w:t>
      </w:r>
      <w:r>
        <w:rPr>
          <w:b/>
        </w:rPr>
        <w:t>about as tall as each other</w:t>
      </w:r>
      <w:r>
        <w:t xml:space="preserve"> (similar spread), and there are no dots stranded far from the rest. Those are the two assumptions, by eye. Now measure them.</w:t>
      </w:r>
    </w:p>
    <w:p w14:paraId="6B02BC52" w14:textId="08ED9B70" w:rsidR="002813CC" w:rsidRDefault="00000000">
      <w:pPr>
        <w:pStyle w:val="Heading2"/>
      </w:pPr>
      <w:r>
        <w:t>3.  The two assumptions, and the tests for them</w:t>
      </w:r>
    </w:p>
    <w:tbl>
      <w:tblPr>
        <w:tblStyle w:val="TableGrid"/>
        <w:tblW w:w="0" w:type="auto"/>
        <w:jc w:val="center"/>
        <w:tblLook w:val="04A0" w:firstRow="1" w:lastRow="0" w:firstColumn="1" w:lastColumn="0" w:noHBand="0" w:noVBand="1"/>
      </w:tblPr>
      <w:tblGrid>
        <w:gridCol w:w="1928"/>
        <w:gridCol w:w="5102"/>
        <w:gridCol w:w="2154"/>
      </w:tblGrid>
      <w:tr w:rsidR="002813CC" w14:paraId="695074C7" w14:textId="77777777">
        <w:trPr>
          <w:tblHeader/>
          <w:jc w:val="center"/>
        </w:trPr>
        <w:tc>
          <w:tcPr>
            <w:tcW w:w="1928" w:type="dxa"/>
            <w:shd w:val="clear" w:color="auto" w:fill="E8EFFC"/>
          </w:tcPr>
          <w:p w14:paraId="62FF78EB" w14:textId="77777777" w:rsidR="002813CC" w:rsidRDefault="00000000">
            <w:pPr>
              <w:spacing w:before="60" w:after="60"/>
            </w:pPr>
            <w:r>
              <w:rPr>
                <w:b/>
                <w:sz w:val="19"/>
              </w:rPr>
              <w:t>Assumption</w:t>
            </w:r>
          </w:p>
        </w:tc>
        <w:tc>
          <w:tcPr>
            <w:tcW w:w="5102" w:type="dxa"/>
            <w:shd w:val="clear" w:color="auto" w:fill="E8EFFC"/>
          </w:tcPr>
          <w:p w14:paraId="7DCEB532" w14:textId="77777777" w:rsidR="002813CC" w:rsidRDefault="00000000">
            <w:pPr>
              <w:spacing w:before="60" w:after="60"/>
            </w:pPr>
            <w:r>
              <w:rPr>
                <w:b/>
                <w:sz w:val="19"/>
              </w:rPr>
              <w:t>What it means</w:t>
            </w:r>
          </w:p>
        </w:tc>
        <w:tc>
          <w:tcPr>
            <w:tcW w:w="2154" w:type="dxa"/>
            <w:shd w:val="clear" w:color="auto" w:fill="E8EFFC"/>
          </w:tcPr>
          <w:p w14:paraId="7E0A3998" w14:textId="77777777" w:rsidR="002813CC" w:rsidRDefault="00000000">
            <w:pPr>
              <w:spacing w:before="60" w:after="60"/>
            </w:pPr>
            <w:r>
              <w:rPr>
                <w:b/>
                <w:sz w:val="19"/>
              </w:rPr>
              <w:t>The test</w:t>
            </w:r>
          </w:p>
        </w:tc>
      </w:tr>
      <w:tr w:rsidR="002813CC" w14:paraId="3FCFD783" w14:textId="77777777">
        <w:trPr>
          <w:jc w:val="center"/>
        </w:trPr>
        <w:tc>
          <w:tcPr>
            <w:tcW w:w="1928" w:type="dxa"/>
          </w:tcPr>
          <w:p w14:paraId="4E9CDA2C" w14:textId="77777777" w:rsidR="002813CC" w:rsidRDefault="00000000">
            <w:pPr>
              <w:spacing w:before="60" w:after="60"/>
            </w:pPr>
            <w:r>
              <w:rPr>
                <w:b/>
                <w:sz w:val="19"/>
              </w:rPr>
              <w:t>Normality</w:t>
            </w:r>
          </w:p>
        </w:tc>
        <w:tc>
          <w:tcPr>
            <w:tcW w:w="5102" w:type="dxa"/>
          </w:tcPr>
          <w:p w14:paraId="726AA8B1" w14:textId="77777777" w:rsidR="002813CC" w:rsidRDefault="00000000">
            <w:pPr>
              <w:spacing w:before="60" w:after="60"/>
            </w:pPr>
            <w:r>
              <w:rPr>
                <w:sz w:val="19"/>
              </w:rPr>
              <w:t>Within each group, the values are roughly bell-shaped rather than badly skewed.</w:t>
            </w:r>
          </w:p>
        </w:tc>
        <w:tc>
          <w:tcPr>
            <w:tcW w:w="2154" w:type="dxa"/>
          </w:tcPr>
          <w:p w14:paraId="00D67EEC" w14:textId="77777777" w:rsidR="002813CC" w:rsidRDefault="00000000">
            <w:pPr>
              <w:spacing w:before="60" w:after="60"/>
            </w:pPr>
            <w:r>
              <w:rPr>
                <w:sz w:val="19"/>
              </w:rPr>
              <w:t>Shapiro-Wilk</w:t>
            </w:r>
          </w:p>
        </w:tc>
      </w:tr>
      <w:tr w:rsidR="002813CC" w14:paraId="6CF26287" w14:textId="77777777">
        <w:trPr>
          <w:jc w:val="center"/>
        </w:trPr>
        <w:tc>
          <w:tcPr>
            <w:tcW w:w="1928" w:type="dxa"/>
          </w:tcPr>
          <w:p w14:paraId="238B83C6" w14:textId="77777777" w:rsidR="002813CC" w:rsidRDefault="00000000">
            <w:pPr>
              <w:spacing w:before="60" w:after="60"/>
            </w:pPr>
            <w:r>
              <w:rPr>
                <w:b/>
                <w:sz w:val="19"/>
              </w:rPr>
              <w:t>Equal variances</w:t>
            </w:r>
          </w:p>
        </w:tc>
        <w:tc>
          <w:tcPr>
            <w:tcW w:w="5102" w:type="dxa"/>
          </w:tcPr>
          <w:p w14:paraId="3A4B174D" w14:textId="77777777" w:rsidR="002813CC" w:rsidRDefault="00000000">
            <w:pPr>
              <w:spacing w:before="60" w:after="60"/>
            </w:pPr>
            <w:r>
              <w:rPr>
                <w:sz w:val="19"/>
              </w:rPr>
              <w:t>The groups are about equally spread out. Also called homogeneity of variance, or homoscedasticity.</w:t>
            </w:r>
          </w:p>
        </w:tc>
        <w:tc>
          <w:tcPr>
            <w:tcW w:w="2154" w:type="dxa"/>
          </w:tcPr>
          <w:p w14:paraId="6DC9ACAD" w14:textId="77777777" w:rsidR="002813CC" w:rsidRDefault="00000000">
            <w:pPr>
              <w:spacing w:before="60" w:after="60"/>
            </w:pPr>
            <w:r>
              <w:rPr>
                <w:sz w:val="19"/>
              </w:rPr>
              <w:t>Levene's test</w:t>
            </w:r>
          </w:p>
        </w:tc>
      </w:tr>
    </w:tbl>
    <w:p w14:paraId="29BAD4A6" w14:textId="357B2C95" w:rsidR="002813CC" w:rsidRDefault="002813CC">
      <w:pPr>
        <w:spacing w:after="40"/>
      </w:pPr>
    </w:p>
    <w:tbl>
      <w:tblPr>
        <w:tblW w:w="0" w:type="auto"/>
        <w:tblLook w:val="04A0" w:firstRow="1" w:lastRow="0" w:firstColumn="1" w:lastColumn="0" w:noHBand="0" w:noVBand="1"/>
      </w:tblPr>
      <w:tblGrid>
        <w:gridCol w:w="9411"/>
      </w:tblGrid>
      <w:tr w:rsidR="002813CC" w14:paraId="5B4E5575" w14:textId="77777777">
        <w:tc>
          <w:tcPr>
            <w:tcW w:w="9411" w:type="dxa"/>
            <w:tcBorders>
              <w:top w:val="single" w:sz="6" w:space="0" w:color="8FB0E8"/>
              <w:left w:val="single" w:sz="6" w:space="0" w:color="8FB0E8"/>
              <w:bottom w:val="single" w:sz="6" w:space="0" w:color="8FB0E8"/>
              <w:right w:val="single" w:sz="6" w:space="0" w:color="8FB0E8"/>
            </w:tcBorders>
            <w:shd w:val="clear" w:color="auto" w:fill="E8EFFC"/>
          </w:tcPr>
          <w:p w14:paraId="7F7CA4AA" w14:textId="77777777" w:rsidR="002813CC" w:rsidRDefault="00000000">
            <w:pPr>
              <w:spacing w:before="80" w:after="40"/>
            </w:pPr>
            <w:r>
              <w:rPr>
                <w:b/>
                <w:sz w:val="20"/>
              </w:rPr>
              <w:t>Both tests run backwards from what you expect</w:t>
            </w:r>
          </w:p>
          <w:p w14:paraId="6BC60F15" w14:textId="77777777" w:rsidR="002813CC" w:rsidRDefault="00000000">
            <w:pPr>
              <w:spacing w:after="60"/>
            </w:pPr>
            <w:r>
              <w:rPr>
                <w:sz w:val="20"/>
              </w:rPr>
              <w:t xml:space="preserve">Their null hypothesis is that the assumption </w:t>
            </w:r>
            <w:r>
              <w:rPr>
                <w:b/>
                <w:sz w:val="20"/>
              </w:rPr>
              <w:t>holds</w:t>
            </w:r>
            <w:r>
              <w:rPr>
                <w:sz w:val="20"/>
              </w:rPr>
              <w:t xml:space="preserve">. So a </w:t>
            </w:r>
            <w:r>
              <w:rPr>
                <w:b/>
                <w:sz w:val="20"/>
              </w:rPr>
              <w:t>large</w:t>
            </w:r>
            <w:r>
              <w:rPr>
                <w:sz w:val="20"/>
              </w:rPr>
              <w:t xml:space="preserve"> p-value (above 0.05) is the good news — it means nothing is wrong. A </w:t>
            </w:r>
            <w:r>
              <w:rPr>
                <w:b/>
                <w:sz w:val="20"/>
              </w:rPr>
              <w:t>small</w:t>
            </w:r>
            <w:r>
              <w:rPr>
                <w:sz w:val="20"/>
              </w:rPr>
              <w:t xml:space="preserve"> p-value is the warning.</w:t>
            </w:r>
          </w:p>
          <w:p w14:paraId="283D861A" w14:textId="21625A26" w:rsidR="002813CC" w:rsidRDefault="00000000">
            <w:pPr>
              <w:spacing w:after="120"/>
            </w:pPr>
            <w:r>
              <w:rPr>
                <w:sz w:val="20"/>
              </w:rPr>
              <w:t xml:space="preserve">This trips almost everyone up the first time. Say it to yourself as you read the output: </w:t>
            </w:r>
            <w:r>
              <w:rPr>
                <w:i/>
                <w:sz w:val="20"/>
              </w:rPr>
              <w:t>big p, no problem.</w:t>
            </w:r>
          </w:p>
        </w:tc>
      </w:tr>
    </w:tbl>
    <w:p w14:paraId="67314451" w14:textId="74649911" w:rsidR="002813CC" w:rsidRDefault="002813CC">
      <w:pPr>
        <w:spacing w:after="40"/>
      </w:pPr>
    </w:p>
    <w:p w14:paraId="6816B6F5" w14:textId="77777777" w:rsidR="002813CC" w:rsidRDefault="00000000">
      <w:pPr>
        <w:pStyle w:val="Heading2"/>
      </w:pPr>
      <w:r>
        <w:t>4.  Running the checks</w:t>
      </w:r>
    </w:p>
    <w:p w14:paraId="4A75C58C" w14:textId="77777777" w:rsidR="002813CC" w:rsidRDefault="00000000">
      <w:pPr>
        <w:pStyle w:val="Heading3"/>
      </w:pPr>
      <w:r>
        <w:t>Normality — Shapiro-Wilk</w:t>
      </w:r>
    </w:p>
    <w:p w14:paraId="23285EF5" w14:textId="77777777" w:rsidR="002813CC" w:rsidRDefault="00000000">
      <w:r>
        <w:rPr>
          <w:rFonts w:ascii="Consolas" w:hAnsi="Consolas"/>
          <w:sz w:val="20"/>
        </w:rPr>
        <w:t>Statistics</w:t>
      </w:r>
      <w:r>
        <w:t xml:space="preserve"> tab → </w:t>
      </w:r>
      <w:r>
        <w:rPr>
          <w:rFonts w:ascii="Consolas" w:hAnsi="Consolas"/>
          <w:sz w:val="20"/>
        </w:rPr>
        <w:t>Diagnostics</w:t>
      </w:r>
      <w:r>
        <w:t xml:space="preserve"> → </w:t>
      </w:r>
      <w:r>
        <w:rPr>
          <w:rFonts w:ascii="Consolas" w:hAnsi="Consolas"/>
          <w:sz w:val="20"/>
        </w:rPr>
        <w:t>Shapiro-Wilk Normality</w:t>
      </w:r>
      <w:r>
        <w:t>.</w:t>
      </w:r>
    </w:p>
    <w:p w14:paraId="5ECFA156" w14:textId="77777777" w:rsidR="002813CC" w:rsidRDefault="00000000">
      <w:pPr>
        <w:pStyle w:val="ListNumber"/>
        <w:spacing w:after="60"/>
      </w:pPr>
      <w:r>
        <w:t xml:space="preserve">Switch </w:t>
      </w:r>
      <w:r>
        <w:rPr>
          <w:rFonts w:ascii="Consolas" w:hAnsi="Consolas"/>
          <w:sz w:val="20"/>
        </w:rPr>
        <w:t>Long Format Data (test by group)</w:t>
      </w:r>
      <w:r>
        <w:t xml:space="preserve"> on — we want each region checked separately.</w:t>
      </w:r>
    </w:p>
    <w:p w14:paraId="5E6D5341" w14:textId="77777777" w:rsidR="002813CC" w:rsidRDefault="00000000">
      <w:pPr>
        <w:pStyle w:val="ListNumber"/>
        <w:spacing w:after="60"/>
      </w:pPr>
      <w:r>
        <w:rPr>
          <w:rFonts w:ascii="Consolas" w:hAnsi="Consolas"/>
          <w:sz w:val="20"/>
        </w:rPr>
        <w:t>Values Column</w:t>
      </w:r>
      <w:r>
        <w:t xml:space="preserve"> → </w:t>
      </w:r>
      <w:r>
        <w:rPr>
          <w:rFonts w:ascii="Consolas" w:hAnsi="Consolas"/>
          <w:sz w:val="20"/>
        </w:rPr>
        <w:t>FiringRate_Hz</w:t>
      </w:r>
    </w:p>
    <w:p w14:paraId="231FDDD9" w14:textId="68370EA3" w:rsidR="002813CC" w:rsidRDefault="00000000">
      <w:pPr>
        <w:pStyle w:val="ListNumber"/>
        <w:spacing w:after="60"/>
      </w:pPr>
      <w:r>
        <w:rPr>
          <w:rFonts w:ascii="Consolas" w:hAnsi="Consolas"/>
          <w:sz w:val="20"/>
        </w:rPr>
        <w:t>Grouping Variable</w:t>
      </w:r>
      <w:r>
        <w:t xml:space="preserve"> → </w:t>
      </w:r>
      <w:proofErr w:type="spellStart"/>
      <w:r>
        <w:rPr>
          <w:rFonts w:ascii="Consolas" w:hAnsi="Consolas"/>
          <w:sz w:val="20"/>
        </w:rPr>
        <w:t>BrainRegion</w:t>
      </w:r>
      <w:proofErr w:type="spellEnd"/>
    </w:p>
    <w:p w14:paraId="188EA3A1" w14:textId="3F35C736" w:rsidR="002813CC" w:rsidRDefault="006241B1">
      <w:pPr>
        <w:pStyle w:val="ListNumber"/>
        <w:spacing w:after="180"/>
      </w:pPr>
      <w:r w:rsidRPr="006241B1">
        <w:rPr>
          <w:i/>
          <w:noProof/>
          <w:color w:val="5B6471"/>
          <w:sz w:val="18"/>
        </w:rPr>
        <w:drawing>
          <wp:anchor distT="0" distB="0" distL="114300" distR="114300" simplePos="0" relativeHeight="251659264" behindDoc="0" locked="0" layoutInCell="1" allowOverlap="1" wp14:anchorId="462BEAB3" wp14:editId="76E48F78">
            <wp:simplePos x="0" y="0"/>
            <wp:positionH relativeFrom="column">
              <wp:posOffset>542732</wp:posOffset>
            </wp:positionH>
            <wp:positionV relativeFrom="paragraph">
              <wp:posOffset>433737</wp:posOffset>
            </wp:positionV>
            <wp:extent cx="4280535" cy="2898140"/>
            <wp:effectExtent l="0" t="0" r="0" b="0"/>
            <wp:wrapTopAndBottom/>
            <wp:docPr id="1631652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652680" name=""/>
                    <pic:cNvPicPr/>
                  </pic:nvPicPr>
                  <pic:blipFill>
                    <a:blip r:embed="rId9"/>
                    <a:stretch>
                      <a:fillRect/>
                    </a:stretch>
                  </pic:blipFill>
                  <pic:spPr>
                    <a:xfrm>
                      <a:off x="0" y="0"/>
                      <a:ext cx="4280535" cy="2898140"/>
                    </a:xfrm>
                    <a:prstGeom prst="rect">
                      <a:avLst/>
                    </a:prstGeom>
                  </pic:spPr>
                </pic:pic>
              </a:graphicData>
            </a:graphic>
            <wp14:sizeRelH relativeFrom="page">
              <wp14:pctWidth>0</wp14:pctWidth>
            </wp14:sizeRelH>
            <wp14:sizeRelV relativeFrom="page">
              <wp14:pctHeight>0</wp14:pctHeight>
            </wp14:sizeRelV>
          </wp:anchor>
        </w:drawing>
      </w:r>
      <w:r>
        <w:t xml:space="preserve">Click </w:t>
      </w:r>
      <w:r>
        <w:rPr>
          <w:rFonts w:ascii="Consolas" w:hAnsi="Consolas"/>
          <w:sz w:val="20"/>
        </w:rPr>
        <w:t>Run Statistical Test</w:t>
      </w:r>
      <w:r>
        <w:t>.</w:t>
      </w:r>
    </w:p>
    <w:p w14:paraId="4F1B752C" w14:textId="03772A39" w:rsidR="006241B1" w:rsidRDefault="006241B1">
      <w:pPr>
        <w:spacing w:after="200"/>
        <w:rPr>
          <w:i/>
          <w:color w:val="5B6471"/>
          <w:sz w:val="18"/>
        </w:rPr>
      </w:pPr>
    </w:p>
    <w:p w14:paraId="17D3F832" w14:textId="604B2E22" w:rsidR="002813CC" w:rsidRDefault="00000000">
      <w:pPr>
        <w:spacing w:after="200"/>
        <w:rPr>
          <w:i/>
          <w:color w:val="5B6471"/>
          <w:sz w:val="18"/>
        </w:rPr>
      </w:pPr>
      <w:r>
        <w:rPr>
          <w:i/>
          <w:color w:val="5B6471"/>
          <w:sz w:val="18"/>
        </w:rPr>
        <w:t>Figure 2. Normality, tested within each region.</w:t>
      </w:r>
    </w:p>
    <w:p w14:paraId="7EC9F85F" w14:textId="77777777" w:rsidR="006241B1" w:rsidRDefault="006241B1">
      <w:pPr>
        <w:spacing w:after="200"/>
        <w:rPr>
          <w:i/>
          <w:color w:val="5B6471"/>
          <w:sz w:val="18"/>
        </w:rPr>
      </w:pPr>
    </w:p>
    <w:p w14:paraId="3BF937D9" w14:textId="77777777" w:rsidR="006241B1" w:rsidRDefault="006241B1">
      <w:pPr>
        <w:spacing w:after="200"/>
      </w:pPr>
    </w:p>
    <w:tbl>
      <w:tblPr>
        <w:tblStyle w:val="TableGrid"/>
        <w:tblW w:w="0" w:type="auto"/>
        <w:jc w:val="center"/>
        <w:tblLook w:val="04A0" w:firstRow="1" w:lastRow="0" w:firstColumn="1" w:lastColumn="0" w:noHBand="0" w:noVBand="1"/>
      </w:tblPr>
      <w:tblGrid>
        <w:gridCol w:w="2835"/>
        <w:gridCol w:w="3402"/>
        <w:gridCol w:w="2948"/>
      </w:tblGrid>
      <w:tr w:rsidR="002813CC" w14:paraId="386EDE84" w14:textId="77777777">
        <w:trPr>
          <w:tblHeader/>
          <w:jc w:val="center"/>
        </w:trPr>
        <w:tc>
          <w:tcPr>
            <w:tcW w:w="2835" w:type="dxa"/>
            <w:shd w:val="clear" w:color="auto" w:fill="E8EFFC"/>
          </w:tcPr>
          <w:p w14:paraId="39E5624B" w14:textId="77777777" w:rsidR="002813CC" w:rsidRDefault="00000000">
            <w:pPr>
              <w:spacing w:before="60" w:after="60"/>
            </w:pPr>
            <w:r>
              <w:rPr>
                <w:b/>
                <w:sz w:val="19"/>
              </w:rPr>
              <w:t>Region</w:t>
            </w:r>
          </w:p>
        </w:tc>
        <w:tc>
          <w:tcPr>
            <w:tcW w:w="3402" w:type="dxa"/>
            <w:shd w:val="clear" w:color="auto" w:fill="E8EFFC"/>
          </w:tcPr>
          <w:p w14:paraId="2FF89FB4" w14:textId="77777777" w:rsidR="002813CC" w:rsidRDefault="00000000">
            <w:pPr>
              <w:spacing w:before="60" w:after="60"/>
            </w:pPr>
            <w:r>
              <w:rPr>
                <w:b/>
                <w:sz w:val="19"/>
              </w:rPr>
              <w:t>Shapiro-Wilk</w:t>
            </w:r>
          </w:p>
        </w:tc>
        <w:tc>
          <w:tcPr>
            <w:tcW w:w="2948" w:type="dxa"/>
            <w:shd w:val="clear" w:color="auto" w:fill="E8EFFC"/>
          </w:tcPr>
          <w:p w14:paraId="701388AA" w14:textId="77777777" w:rsidR="002813CC" w:rsidRDefault="00000000">
            <w:pPr>
              <w:spacing w:before="60" w:after="60"/>
            </w:pPr>
            <w:r>
              <w:rPr>
                <w:b/>
                <w:sz w:val="19"/>
              </w:rPr>
              <w:t>Verdict</w:t>
            </w:r>
          </w:p>
        </w:tc>
      </w:tr>
      <w:tr w:rsidR="002813CC" w14:paraId="6BEA5FC3" w14:textId="77777777">
        <w:trPr>
          <w:jc w:val="center"/>
        </w:trPr>
        <w:tc>
          <w:tcPr>
            <w:tcW w:w="2835" w:type="dxa"/>
          </w:tcPr>
          <w:p w14:paraId="105B3211" w14:textId="77777777" w:rsidR="002813CC" w:rsidRDefault="00000000">
            <w:pPr>
              <w:spacing w:before="60" w:after="60"/>
            </w:pPr>
            <w:r>
              <w:rPr>
                <w:rFonts w:ascii="Consolas" w:hAnsi="Consolas"/>
                <w:sz w:val="17"/>
              </w:rPr>
              <w:t>Amygdala</w:t>
            </w:r>
          </w:p>
        </w:tc>
        <w:tc>
          <w:tcPr>
            <w:tcW w:w="3402" w:type="dxa"/>
          </w:tcPr>
          <w:p w14:paraId="159C6DED" w14:textId="77777777" w:rsidR="002813CC" w:rsidRDefault="00000000">
            <w:pPr>
              <w:spacing w:before="60" w:after="60"/>
            </w:pPr>
            <w:r>
              <w:rPr>
                <w:sz w:val="19"/>
              </w:rPr>
              <w:t>W = 0.988, p = 0.802</w:t>
            </w:r>
          </w:p>
        </w:tc>
        <w:tc>
          <w:tcPr>
            <w:tcW w:w="2948" w:type="dxa"/>
          </w:tcPr>
          <w:p w14:paraId="2D31D5F8" w14:textId="77777777" w:rsidR="002813CC" w:rsidRDefault="00000000">
            <w:pPr>
              <w:spacing w:before="60" w:after="60"/>
            </w:pPr>
            <w:r>
              <w:rPr>
                <w:sz w:val="19"/>
              </w:rPr>
              <w:t>Normal</w:t>
            </w:r>
          </w:p>
        </w:tc>
      </w:tr>
      <w:tr w:rsidR="002813CC" w14:paraId="2B993C40" w14:textId="77777777">
        <w:trPr>
          <w:jc w:val="center"/>
        </w:trPr>
        <w:tc>
          <w:tcPr>
            <w:tcW w:w="2835" w:type="dxa"/>
          </w:tcPr>
          <w:p w14:paraId="19689F6C" w14:textId="77777777" w:rsidR="002813CC" w:rsidRDefault="00000000">
            <w:pPr>
              <w:spacing w:before="60" w:after="60"/>
            </w:pPr>
            <w:r>
              <w:rPr>
                <w:rFonts w:ascii="Consolas" w:hAnsi="Consolas"/>
                <w:sz w:val="17"/>
              </w:rPr>
              <w:t>Hippocampus</w:t>
            </w:r>
          </w:p>
        </w:tc>
        <w:tc>
          <w:tcPr>
            <w:tcW w:w="3402" w:type="dxa"/>
          </w:tcPr>
          <w:p w14:paraId="5DB8B525" w14:textId="77777777" w:rsidR="002813CC" w:rsidRDefault="00000000">
            <w:pPr>
              <w:spacing w:before="60" w:after="60"/>
            </w:pPr>
            <w:r>
              <w:rPr>
                <w:sz w:val="19"/>
              </w:rPr>
              <w:t>W = 0.974, p = 0.224</w:t>
            </w:r>
          </w:p>
        </w:tc>
        <w:tc>
          <w:tcPr>
            <w:tcW w:w="2948" w:type="dxa"/>
          </w:tcPr>
          <w:p w14:paraId="120A2E27" w14:textId="77777777" w:rsidR="002813CC" w:rsidRDefault="00000000">
            <w:pPr>
              <w:spacing w:before="60" w:after="60"/>
            </w:pPr>
            <w:r>
              <w:rPr>
                <w:sz w:val="19"/>
              </w:rPr>
              <w:t>Normal</w:t>
            </w:r>
          </w:p>
        </w:tc>
      </w:tr>
      <w:tr w:rsidR="002813CC" w14:paraId="03BFB6D7" w14:textId="77777777">
        <w:trPr>
          <w:jc w:val="center"/>
        </w:trPr>
        <w:tc>
          <w:tcPr>
            <w:tcW w:w="2835" w:type="dxa"/>
          </w:tcPr>
          <w:p w14:paraId="30A931ED" w14:textId="77777777" w:rsidR="002813CC" w:rsidRDefault="00000000">
            <w:pPr>
              <w:spacing w:before="60" w:after="60"/>
            </w:pPr>
            <w:r>
              <w:rPr>
                <w:rFonts w:ascii="Consolas" w:hAnsi="Consolas"/>
                <w:sz w:val="17"/>
              </w:rPr>
              <w:t>PrefrontalCortex</w:t>
            </w:r>
          </w:p>
        </w:tc>
        <w:tc>
          <w:tcPr>
            <w:tcW w:w="3402" w:type="dxa"/>
          </w:tcPr>
          <w:p w14:paraId="65ED204B" w14:textId="77777777" w:rsidR="002813CC" w:rsidRDefault="00000000">
            <w:pPr>
              <w:spacing w:before="60" w:after="60"/>
            </w:pPr>
            <w:r>
              <w:rPr>
                <w:sz w:val="19"/>
              </w:rPr>
              <w:t>W = 0.984, p = 0.617</w:t>
            </w:r>
          </w:p>
        </w:tc>
        <w:tc>
          <w:tcPr>
            <w:tcW w:w="2948" w:type="dxa"/>
          </w:tcPr>
          <w:p w14:paraId="54FCDD39" w14:textId="77777777" w:rsidR="002813CC" w:rsidRDefault="00000000">
            <w:pPr>
              <w:spacing w:before="60" w:after="60"/>
            </w:pPr>
            <w:r>
              <w:rPr>
                <w:sz w:val="19"/>
              </w:rPr>
              <w:t>Normal</w:t>
            </w:r>
          </w:p>
        </w:tc>
      </w:tr>
    </w:tbl>
    <w:p w14:paraId="6CD6157E" w14:textId="5AC9B6B5" w:rsidR="002813CC" w:rsidRDefault="002813CC">
      <w:pPr>
        <w:spacing w:after="40"/>
      </w:pPr>
    </w:p>
    <w:p w14:paraId="6C03763C" w14:textId="666D17FD" w:rsidR="002813CC" w:rsidRDefault="00000000">
      <w:r>
        <w:rPr>
          <w:color w:val="5B6471"/>
          <w:sz w:val="20"/>
        </w:rPr>
        <w:t xml:space="preserve">All three p-values are comfortably above 0.05, and the </w:t>
      </w:r>
      <w:r>
        <w:rPr>
          <w:rFonts w:ascii="Consolas" w:hAnsi="Consolas"/>
          <w:color w:val="5B6471"/>
          <w:sz w:val="18"/>
        </w:rPr>
        <w:t>SUMMARY</w:t>
      </w:r>
      <w:r>
        <w:rPr>
          <w:color w:val="5B6471"/>
          <w:sz w:val="20"/>
        </w:rPr>
        <w:t xml:space="preserve"> block at the </w:t>
      </w:r>
      <w:r w:rsidR="006241B1">
        <w:rPr>
          <w:color w:val="5B6471"/>
          <w:sz w:val="20"/>
        </w:rPr>
        <w:t>top says so</w:t>
      </w:r>
      <w:r>
        <w:rPr>
          <w:color w:val="5B6471"/>
          <w:sz w:val="20"/>
        </w:rPr>
        <w:t xml:space="preserve">. The output also prints </w:t>
      </w:r>
      <w:r>
        <w:rPr>
          <w:b/>
          <w:color w:val="5B6471"/>
          <w:sz w:val="20"/>
        </w:rPr>
        <w:t>skewness</w:t>
      </w:r>
      <w:r>
        <w:rPr>
          <w:color w:val="5B6471"/>
          <w:sz w:val="20"/>
        </w:rPr>
        <w:t xml:space="preserve"> (lopsidedness) and </w:t>
      </w:r>
      <w:r>
        <w:rPr>
          <w:b/>
          <w:color w:val="5B6471"/>
          <w:sz w:val="20"/>
        </w:rPr>
        <w:t>kurtosis</w:t>
      </w:r>
      <w:r>
        <w:rPr>
          <w:color w:val="5B6471"/>
          <w:sz w:val="20"/>
        </w:rPr>
        <w:t xml:space="preserve"> (how heavy the tails are); both should sit near 0, and ours do.</w:t>
      </w:r>
    </w:p>
    <w:p w14:paraId="5BDBD88D" w14:textId="77777777" w:rsidR="002813CC" w:rsidRDefault="00000000">
      <w:pPr>
        <w:pStyle w:val="Heading3"/>
      </w:pPr>
      <w:r>
        <w:t>Equal variances — Levene's test</w:t>
      </w:r>
    </w:p>
    <w:p w14:paraId="1C0F83B3" w14:textId="415D84CD" w:rsidR="002813CC" w:rsidRDefault="00000000">
      <w:r>
        <w:t xml:space="preserve">Still in </w:t>
      </w:r>
      <w:r>
        <w:rPr>
          <w:rFonts w:ascii="Consolas" w:hAnsi="Consolas"/>
          <w:sz w:val="20"/>
        </w:rPr>
        <w:t>Diagnostics</w:t>
      </w:r>
      <w:r>
        <w:t xml:space="preserve">, choose </w:t>
      </w:r>
      <w:r>
        <w:rPr>
          <w:rFonts w:ascii="Consolas" w:hAnsi="Consolas"/>
          <w:sz w:val="20"/>
        </w:rPr>
        <w:t>Levene's Test</w:t>
      </w:r>
      <w:r>
        <w:t>.</w:t>
      </w:r>
    </w:p>
    <w:p w14:paraId="1A3C21C7" w14:textId="4696BE15" w:rsidR="002813CC" w:rsidRDefault="00000000">
      <w:pPr>
        <w:pStyle w:val="ListNumber"/>
        <w:spacing w:after="60"/>
      </w:pPr>
      <w:r>
        <w:t xml:space="preserve">Switch </w:t>
      </w:r>
      <w:r>
        <w:rPr>
          <w:rFonts w:ascii="Consolas" w:hAnsi="Consolas"/>
          <w:sz w:val="20"/>
        </w:rPr>
        <w:t>Long Format Data</w:t>
      </w:r>
      <w:r>
        <w:t xml:space="preserve"> on.</w:t>
      </w:r>
    </w:p>
    <w:p w14:paraId="0FE8882B" w14:textId="6D655959" w:rsidR="002813CC" w:rsidRDefault="00000000">
      <w:pPr>
        <w:pStyle w:val="ListNumber"/>
        <w:spacing w:after="60"/>
      </w:pPr>
      <w:r>
        <w:rPr>
          <w:rFonts w:ascii="Consolas" w:hAnsi="Consolas"/>
          <w:sz w:val="20"/>
        </w:rPr>
        <w:t>Values Column</w:t>
      </w:r>
      <w:r>
        <w:t xml:space="preserve"> → </w:t>
      </w:r>
      <w:proofErr w:type="spellStart"/>
      <w:r>
        <w:rPr>
          <w:rFonts w:ascii="Consolas" w:hAnsi="Consolas"/>
          <w:sz w:val="20"/>
        </w:rPr>
        <w:t>FiringRate_</w:t>
      </w:r>
      <w:proofErr w:type="gramStart"/>
      <w:r>
        <w:rPr>
          <w:rFonts w:ascii="Consolas" w:hAnsi="Consolas"/>
          <w:sz w:val="20"/>
        </w:rPr>
        <w:t>Hz</w:t>
      </w:r>
      <w:proofErr w:type="spellEnd"/>
      <w:r>
        <w:t xml:space="preserve">,  </w:t>
      </w:r>
      <w:r>
        <w:rPr>
          <w:rFonts w:ascii="Consolas" w:hAnsi="Consolas"/>
          <w:sz w:val="20"/>
        </w:rPr>
        <w:t>Grouping</w:t>
      </w:r>
      <w:proofErr w:type="gramEnd"/>
      <w:r>
        <w:rPr>
          <w:rFonts w:ascii="Consolas" w:hAnsi="Consolas"/>
          <w:sz w:val="20"/>
        </w:rPr>
        <w:t xml:space="preserve"> Variable</w:t>
      </w:r>
      <w:r>
        <w:t xml:space="preserve"> → </w:t>
      </w:r>
      <w:r>
        <w:rPr>
          <w:rFonts w:ascii="Consolas" w:hAnsi="Consolas"/>
          <w:sz w:val="20"/>
        </w:rPr>
        <w:t>BrainRegion</w:t>
      </w:r>
      <w:r>
        <w:t>.</w:t>
      </w:r>
    </w:p>
    <w:p w14:paraId="66BC87ED" w14:textId="57FA566A" w:rsidR="002813CC" w:rsidRDefault="00000000">
      <w:pPr>
        <w:pStyle w:val="ListNumber"/>
        <w:spacing w:after="180"/>
      </w:pPr>
      <w:r>
        <w:t xml:space="preserve">Click </w:t>
      </w:r>
      <w:r>
        <w:rPr>
          <w:rFonts w:ascii="Consolas" w:hAnsi="Consolas"/>
          <w:sz w:val="20"/>
        </w:rPr>
        <w:t>Run Statistical Test</w:t>
      </w:r>
      <w:r>
        <w:t>.</w:t>
      </w:r>
    </w:p>
    <w:p w14:paraId="5296AF5C" w14:textId="7B073E7E" w:rsidR="004D4334" w:rsidRDefault="004D4334" w:rsidP="004D4334">
      <w:pPr>
        <w:pStyle w:val="ListNumber"/>
        <w:numPr>
          <w:ilvl w:val="0"/>
          <w:numId w:val="0"/>
        </w:numPr>
        <w:spacing w:after="180"/>
        <w:ind w:left="360" w:hanging="360"/>
      </w:pPr>
      <w:r w:rsidRPr="004D4334">
        <w:rPr>
          <w:noProof/>
        </w:rPr>
        <w:drawing>
          <wp:anchor distT="0" distB="0" distL="114300" distR="114300" simplePos="0" relativeHeight="251660288" behindDoc="1" locked="0" layoutInCell="1" allowOverlap="1" wp14:anchorId="01283975" wp14:editId="4FDD7D27">
            <wp:simplePos x="0" y="0"/>
            <wp:positionH relativeFrom="column">
              <wp:posOffset>452755</wp:posOffset>
            </wp:positionH>
            <wp:positionV relativeFrom="paragraph">
              <wp:posOffset>361315</wp:posOffset>
            </wp:positionV>
            <wp:extent cx="4754880" cy="3117850"/>
            <wp:effectExtent l="0" t="0" r="0" b="6350"/>
            <wp:wrapTopAndBottom/>
            <wp:docPr id="595868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868738" name=""/>
                    <pic:cNvPicPr/>
                  </pic:nvPicPr>
                  <pic:blipFill>
                    <a:blip r:embed="rId10"/>
                    <a:stretch>
                      <a:fillRect/>
                    </a:stretch>
                  </pic:blipFill>
                  <pic:spPr>
                    <a:xfrm>
                      <a:off x="0" y="0"/>
                      <a:ext cx="4754880" cy="3117850"/>
                    </a:xfrm>
                    <a:prstGeom prst="rect">
                      <a:avLst/>
                    </a:prstGeom>
                  </pic:spPr>
                </pic:pic>
              </a:graphicData>
            </a:graphic>
            <wp14:sizeRelH relativeFrom="page">
              <wp14:pctWidth>0</wp14:pctWidth>
            </wp14:sizeRelH>
            <wp14:sizeRelV relativeFrom="page">
              <wp14:pctHeight>0</wp14:pctHeight>
            </wp14:sizeRelV>
          </wp:anchor>
        </w:drawing>
      </w:r>
    </w:p>
    <w:p w14:paraId="3F78087C" w14:textId="22A7E37D" w:rsidR="004D4334" w:rsidRDefault="004D4334">
      <w:pPr>
        <w:spacing w:after="200"/>
        <w:rPr>
          <w:i/>
          <w:color w:val="5B6471"/>
          <w:sz w:val="18"/>
        </w:rPr>
      </w:pPr>
    </w:p>
    <w:p w14:paraId="0A50A866" w14:textId="496B451E" w:rsidR="004D4334" w:rsidRDefault="004D4334">
      <w:pPr>
        <w:spacing w:after="200"/>
        <w:rPr>
          <w:i/>
          <w:color w:val="5B6471"/>
          <w:sz w:val="18"/>
        </w:rPr>
      </w:pPr>
    </w:p>
    <w:p w14:paraId="198E2164" w14:textId="14BC08B0" w:rsidR="004D4334" w:rsidRDefault="004D4334">
      <w:pPr>
        <w:spacing w:after="200"/>
        <w:rPr>
          <w:i/>
          <w:color w:val="5B6471"/>
          <w:sz w:val="18"/>
        </w:rPr>
      </w:pPr>
    </w:p>
    <w:p w14:paraId="2FAA5B2E" w14:textId="389E8635" w:rsidR="004D4334" w:rsidRDefault="004D4334">
      <w:pPr>
        <w:spacing w:after="200"/>
        <w:rPr>
          <w:i/>
          <w:color w:val="5B6471"/>
          <w:sz w:val="18"/>
        </w:rPr>
      </w:pPr>
    </w:p>
    <w:p w14:paraId="741C86CB" w14:textId="5088093F" w:rsidR="004D4334" w:rsidRDefault="004D4334">
      <w:pPr>
        <w:spacing w:after="200"/>
        <w:rPr>
          <w:i/>
          <w:color w:val="5B6471"/>
          <w:sz w:val="18"/>
        </w:rPr>
      </w:pPr>
    </w:p>
    <w:p w14:paraId="1B553D42" w14:textId="7D938CA4" w:rsidR="004D4334" w:rsidRDefault="004D4334">
      <w:pPr>
        <w:spacing w:after="200"/>
        <w:rPr>
          <w:i/>
          <w:color w:val="5B6471"/>
          <w:sz w:val="18"/>
        </w:rPr>
      </w:pPr>
    </w:p>
    <w:p w14:paraId="332BD9E4" w14:textId="5B2379DF" w:rsidR="004D4334" w:rsidRDefault="004D4334">
      <w:pPr>
        <w:spacing w:after="200"/>
        <w:rPr>
          <w:i/>
          <w:color w:val="5B6471"/>
          <w:sz w:val="18"/>
        </w:rPr>
      </w:pPr>
    </w:p>
    <w:p w14:paraId="69ABE455" w14:textId="65A9F08E" w:rsidR="004D4334" w:rsidRDefault="004D4334">
      <w:pPr>
        <w:spacing w:after="200"/>
        <w:rPr>
          <w:i/>
          <w:color w:val="5B6471"/>
          <w:sz w:val="18"/>
        </w:rPr>
      </w:pPr>
    </w:p>
    <w:p w14:paraId="407407CB" w14:textId="6A004CC8" w:rsidR="004D4334" w:rsidRDefault="004D4334">
      <w:pPr>
        <w:spacing w:after="200"/>
        <w:rPr>
          <w:i/>
          <w:color w:val="5B6471"/>
          <w:sz w:val="18"/>
        </w:rPr>
      </w:pPr>
    </w:p>
    <w:p w14:paraId="1B4E82A6" w14:textId="697915AF" w:rsidR="002813CC" w:rsidRDefault="004D4334">
      <w:pPr>
        <w:spacing w:after="200"/>
      </w:pPr>
      <w:r w:rsidRPr="004D4334">
        <w:rPr>
          <w:noProof/>
        </w:rPr>
        <w:lastRenderedPageBreak/>
        <w:drawing>
          <wp:anchor distT="0" distB="0" distL="114300" distR="114300" simplePos="0" relativeHeight="251661312" behindDoc="0" locked="0" layoutInCell="1" allowOverlap="1" wp14:anchorId="42EC680E" wp14:editId="569A9F65">
            <wp:simplePos x="0" y="0"/>
            <wp:positionH relativeFrom="column">
              <wp:posOffset>452755</wp:posOffset>
            </wp:positionH>
            <wp:positionV relativeFrom="paragraph">
              <wp:posOffset>-258445</wp:posOffset>
            </wp:positionV>
            <wp:extent cx="4826000" cy="3985895"/>
            <wp:effectExtent l="0" t="0" r="0" b="1905"/>
            <wp:wrapTopAndBottom/>
            <wp:docPr id="18314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4976" name=""/>
                    <pic:cNvPicPr/>
                  </pic:nvPicPr>
                  <pic:blipFill>
                    <a:blip r:embed="rId11"/>
                    <a:stretch>
                      <a:fillRect/>
                    </a:stretch>
                  </pic:blipFill>
                  <pic:spPr>
                    <a:xfrm>
                      <a:off x="0" y="0"/>
                      <a:ext cx="4826000" cy="3985895"/>
                    </a:xfrm>
                    <a:prstGeom prst="rect">
                      <a:avLst/>
                    </a:prstGeom>
                  </pic:spPr>
                </pic:pic>
              </a:graphicData>
            </a:graphic>
            <wp14:sizeRelH relativeFrom="page">
              <wp14:pctWidth>0</wp14:pctWidth>
            </wp14:sizeRelH>
            <wp14:sizeRelV relativeFrom="page">
              <wp14:pctHeight>0</wp14:pctHeight>
            </wp14:sizeRelV>
          </wp:anchor>
        </w:drawing>
      </w:r>
      <w:r>
        <w:rPr>
          <w:i/>
          <w:color w:val="5B6471"/>
          <w:sz w:val="18"/>
        </w:rPr>
        <w:t>Figure 3. Equality of variances across the three regions.</w:t>
      </w:r>
    </w:p>
    <w:p w14:paraId="2DF6E89B" w14:textId="185ACC79" w:rsidR="002813CC" w:rsidRDefault="00000000">
      <w:r>
        <w:t xml:space="preserve">Ours gives </w:t>
      </w:r>
      <w:r>
        <w:rPr>
          <w:b/>
        </w:rPr>
        <w:t>W = 0.33, p = 0.72</w:t>
      </w:r>
      <w:r>
        <w:t xml:space="preserve"> — well above 0.05, so the groups are similarly spread and the assumption holds.</w:t>
      </w:r>
    </w:p>
    <w:p w14:paraId="74465507" w14:textId="331060C9" w:rsidR="002813CC" w:rsidRDefault="00000000">
      <w:pPr>
        <w:pStyle w:val="Heading2"/>
      </w:pPr>
      <w:r>
        <w:t>5.  What the answers mean for your next step</w:t>
      </w:r>
    </w:p>
    <w:tbl>
      <w:tblPr>
        <w:tblStyle w:val="TableGrid"/>
        <w:tblW w:w="0" w:type="auto"/>
        <w:jc w:val="center"/>
        <w:tblLook w:val="04A0" w:firstRow="1" w:lastRow="0" w:firstColumn="1" w:lastColumn="0" w:noHBand="0" w:noVBand="1"/>
      </w:tblPr>
      <w:tblGrid>
        <w:gridCol w:w="1474"/>
        <w:gridCol w:w="1701"/>
        <w:gridCol w:w="6009"/>
      </w:tblGrid>
      <w:tr w:rsidR="002813CC" w14:paraId="7D2F518E" w14:textId="77777777">
        <w:trPr>
          <w:tblHeader/>
          <w:jc w:val="center"/>
        </w:trPr>
        <w:tc>
          <w:tcPr>
            <w:tcW w:w="1474" w:type="dxa"/>
            <w:shd w:val="clear" w:color="auto" w:fill="E8EFFC"/>
          </w:tcPr>
          <w:p w14:paraId="4938DBC3" w14:textId="4088C8E8" w:rsidR="002813CC" w:rsidRDefault="00000000">
            <w:pPr>
              <w:spacing w:before="60" w:after="60"/>
            </w:pPr>
            <w:r>
              <w:rPr>
                <w:b/>
                <w:sz w:val="19"/>
              </w:rPr>
              <w:t>Normality</w:t>
            </w:r>
          </w:p>
        </w:tc>
        <w:tc>
          <w:tcPr>
            <w:tcW w:w="1701" w:type="dxa"/>
            <w:shd w:val="clear" w:color="auto" w:fill="E8EFFC"/>
          </w:tcPr>
          <w:p w14:paraId="2553A92C" w14:textId="77777777" w:rsidR="002813CC" w:rsidRDefault="00000000">
            <w:pPr>
              <w:spacing w:before="60" w:after="60"/>
            </w:pPr>
            <w:r>
              <w:rPr>
                <w:b/>
                <w:sz w:val="19"/>
              </w:rPr>
              <w:t>Equal variances</w:t>
            </w:r>
          </w:p>
        </w:tc>
        <w:tc>
          <w:tcPr>
            <w:tcW w:w="6009" w:type="dxa"/>
            <w:shd w:val="clear" w:color="auto" w:fill="E8EFFC"/>
          </w:tcPr>
          <w:p w14:paraId="158DD4F4" w14:textId="77777777" w:rsidR="002813CC" w:rsidRDefault="00000000">
            <w:pPr>
              <w:spacing w:before="60" w:after="60"/>
            </w:pPr>
            <w:r>
              <w:rPr>
                <w:b/>
                <w:sz w:val="19"/>
              </w:rPr>
              <w:t>What to run</w:t>
            </w:r>
          </w:p>
        </w:tc>
      </w:tr>
      <w:tr w:rsidR="002813CC" w14:paraId="7FDC41AE" w14:textId="77777777">
        <w:trPr>
          <w:jc w:val="center"/>
        </w:trPr>
        <w:tc>
          <w:tcPr>
            <w:tcW w:w="1474" w:type="dxa"/>
          </w:tcPr>
          <w:p w14:paraId="1B58A847" w14:textId="77777777" w:rsidR="002813CC" w:rsidRDefault="00000000">
            <w:pPr>
              <w:spacing w:before="60" w:after="60"/>
            </w:pPr>
            <w:r>
              <w:rPr>
                <w:sz w:val="19"/>
              </w:rPr>
              <w:t>OK</w:t>
            </w:r>
          </w:p>
        </w:tc>
        <w:tc>
          <w:tcPr>
            <w:tcW w:w="1701" w:type="dxa"/>
          </w:tcPr>
          <w:p w14:paraId="333C70A7" w14:textId="77777777" w:rsidR="002813CC" w:rsidRDefault="00000000">
            <w:pPr>
              <w:spacing w:before="60" w:after="60"/>
            </w:pPr>
            <w:r>
              <w:rPr>
                <w:sz w:val="19"/>
              </w:rPr>
              <w:t>OK</w:t>
            </w:r>
          </w:p>
        </w:tc>
        <w:tc>
          <w:tcPr>
            <w:tcW w:w="6009" w:type="dxa"/>
          </w:tcPr>
          <w:p w14:paraId="30BA8DBC" w14:textId="77777777" w:rsidR="002813CC" w:rsidRDefault="00000000">
            <w:pPr>
              <w:spacing w:before="60" w:after="60"/>
            </w:pPr>
            <w:r>
              <w:rPr>
                <w:b/>
                <w:sz w:val="19"/>
              </w:rPr>
              <w:t>Ordinary ANOVA</w:t>
            </w:r>
            <w:r>
              <w:rPr>
                <w:sz w:val="19"/>
              </w:rPr>
              <w:t xml:space="preserve"> — go to Guide 5. This is us.</w:t>
            </w:r>
          </w:p>
        </w:tc>
      </w:tr>
      <w:tr w:rsidR="002813CC" w14:paraId="3FC789D1" w14:textId="77777777">
        <w:trPr>
          <w:jc w:val="center"/>
        </w:trPr>
        <w:tc>
          <w:tcPr>
            <w:tcW w:w="1474" w:type="dxa"/>
          </w:tcPr>
          <w:p w14:paraId="3FD0AEFD" w14:textId="63A0D833" w:rsidR="002813CC" w:rsidRDefault="00000000">
            <w:pPr>
              <w:spacing w:before="60" w:after="60"/>
            </w:pPr>
            <w:r>
              <w:rPr>
                <w:sz w:val="19"/>
              </w:rPr>
              <w:t>OK</w:t>
            </w:r>
          </w:p>
        </w:tc>
        <w:tc>
          <w:tcPr>
            <w:tcW w:w="1701" w:type="dxa"/>
          </w:tcPr>
          <w:p w14:paraId="43D606A3" w14:textId="77777777" w:rsidR="002813CC" w:rsidRDefault="00000000">
            <w:pPr>
              <w:spacing w:before="60" w:after="60"/>
            </w:pPr>
            <w:r>
              <w:rPr>
                <w:sz w:val="19"/>
              </w:rPr>
              <w:t>Failed</w:t>
            </w:r>
          </w:p>
        </w:tc>
        <w:tc>
          <w:tcPr>
            <w:tcW w:w="6009" w:type="dxa"/>
          </w:tcPr>
          <w:p w14:paraId="04C9762F" w14:textId="77777777" w:rsidR="002813CC" w:rsidRDefault="00000000">
            <w:pPr>
              <w:spacing w:before="60" w:after="60"/>
            </w:pPr>
            <w:r>
              <w:rPr>
                <w:sz w:val="19"/>
              </w:rPr>
              <w:t xml:space="preserve">Carry on — Plotara reports </w:t>
            </w:r>
            <w:r>
              <w:rPr>
                <w:b/>
                <w:sz w:val="19"/>
              </w:rPr>
              <w:t>Welch's ANOVA</w:t>
            </w:r>
            <w:r>
              <w:rPr>
                <w:sz w:val="19"/>
              </w:rPr>
              <w:t xml:space="preserve"> alongside the ordinary one and tells you to use it. See Guide 5.</w:t>
            </w:r>
          </w:p>
        </w:tc>
      </w:tr>
      <w:tr w:rsidR="002813CC" w14:paraId="19558691" w14:textId="77777777">
        <w:trPr>
          <w:jc w:val="center"/>
        </w:trPr>
        <w:tc>
          <w:tcPr>
            <w:tcW w:w="1474" w:type="dxa"/>
          </w:tcPr>
          <w:p w14:paraId="64FEFF39" w14:textId="77777777" w:rsidR="002813CC" w:rsidRDefault="00000000">
            <w:pPr>
              <w:spacing w:before="60" w:after="60"/>
            </w:pPr>
            <w:r>
              <w:rPr>
                <w:sz w:val="19"/>
              </w:rPr>
              <w:t>Failed</w:t>
            </w:r>
          </w:p>
        </w:tc>
        <w:tc>
          <w:tcPr>
            <w:tcW w:w="1701" w:type="dxa"/>
          </w:tcPr>
          <w:p w14:paraId="259227EB" w14:textId="77777777" w:rsidR="002813CC" w:rsidRDefault="00000000">
            <w:pPr>
              <w:spacing w:before="60" w:after="60"/>
            </w:pPr>
            <w:r>
              <w:rPr>
                <w:sz w:val="19"/>
              </w:rPr>
              <w:t>OK</w:t>
            </w:r>
          </w:p>
        </w:tc>
        <w:tc>
          <w:tcPr>
            <w:tcW w:w="6009" w:type="dxa"/>
          </w:tcPr>
          <w:p w14:paraId="73121FA9" w14:textId="77777777" w:rsidR="002813CC" w:rsidRDefault="00000000">
            <w:pPr>
              <w:spacing w:before="60" w:after="60"/>
            </w:pPr>
            <w:r>
              <w:rPr>
                <w:sz w:val="19"/>
              </w:rPr>
              <w:t xml:space="preserve">With large groups, carry on — ANOVA tolerates mild non-normality. With small groups, use </w:t>
            </w:r>
            <w:r>
              <w:rPr>
                <w:rFonts w:ascii="Consolas" w:hAnsi="Consolas"/>
                <w:sz w:val="17"/>
              </w:rPr>
              <w:t>Nonparametric</w:t>
            </w:r>
            <w:r>
              <w:rPr>
                <w:sz w:val="19"/>
              </w:rPr>
              <w:t xml:space="preserve"> → </w:t>
            </w:r>
            <w:r>
              <w:rPr>
                <w:rFonts w:ascii="Consolas" w:hAnsi="Consolas"/>
                <w:sz w:val="17"/>
              </w:rPr>
              <w:t>Kruskal-Wallis</w:t>
            </w:r>
            <w:r>
              <w:rPr>
                <w:sz w:val="19"/>
              </w:rPr>
              <w:t>.</w:t>
            </w:r>
          </w:p>
        </w:tc>
      </w:tr>
      <w:tr w:rsidR="002813CC" w14:paraId="2F442359" w14:textId="77777777">
        <w:trPr>
          <w:jc w:val="center"/>
        </w:trPr>
        <w:tc>
          <w:tcPr>
            <w:tcW w:w="1474" w:type="dxa"/>
          </w:tcPr>
          <w:p w14:paraId="01181902" w14:textId="77777777" w:rsidR="002813CC" w:rsidRDefault="00000000">
            <w:pPr>
              <w:spacing w:before="60" w:after="60"/>
            </w:pPr>
            <w:r>
              <w:rPr>
                <w:sz w:val="19"/>
              </w:rPr>
              <w:t>Failed</w:t>
            </w:r>
          </w:p>
        </w:tc>
        <w:tc>
          <w:tcPr>
            <w:tcW w:w="1701" w:type="dxa"/>
          </w:tcPr>
          <w:p w14:paraId="14841B46" w14:textId="77777777" w:rsidR="002813CC" w:rsidRDefault="00000000">
            <w:pPr>
              <w:spacing w:before="60" w:after="60"/>
            </w:pPr>
            <w:r>
              <w:rPr>
                <w:sz w:val="19"/>
              </w:rPr>
              <w:t>Failed</w:t>
            </w:r>
          </w:p>
        </w:tc>
        <w:tc>
          <w:tcPr>
            <w:tcW w:w="6009" w:type="dxa"/>
          </w:tcPr>
          <w:p w14:paraId="2B171317" w14:textId="77777777" w:rsidR="002813CC" w:rsidRDefault="00000000">
            <w:pPr>
              <w:spacing w:before="60" w:after="60"/>
            </w:pPr>
            <w:r>
              <w:rPr>
                <w:sz w:val="19"/>
              </w:rPr>
              <w:t xml:space="preserve">Use </w:t>
            </w:r>
            <w:r>
              <w:rPr>
                <w:rFonts w:ascii="Consolas" w:hAnsi="Consolas"/>
                <w:sz w:val="17"/>
              </w:rPr>
              <w:t>Nonparametric</w:t>
            </w:r>
            <w:r>
              <w:rPr>
                <w:sz w:val="19"/>
              </w:rPr>
              <w:t xml:space="preserve"> → </w:t>
            </w:r>
            <w:r>
              <w:rPr>
                <w:rFonts w:ascii="Consolas" w:hAnsi="Consolas"/>
                <w:sz w:val="17"/>
              </w:rPr>
              <w:t>Kruskal-Wallis</w:t>
            </w:r>
            <w:r>
              <w:rPr>
                <w:sz w:val="19"/>
              </w:rPr>
              <w:t>, and say why.</w:t>
            </w:r>
          </w:p>
        </w:tc>
      </w:tr>
    </w:tbl>
    <w:p w14:paraId="640CE230" w14:textId="274DA9D5" w:rsidR="002813CC" w:rsidRDefault="002813CC">
      <w:pPr>
        <w:spacing w:after="40"/>
      </w:pPr>
    </w:p>
    <w:p w14:paraId="5D4E2D41" w14:textId="77777777" w:rsidR="002813CC" w:rsidRDefault="00000000">
      <w:r>
        <w:t>One caution in the other direction: with very large samples these tests flag departures far too small to matter, and with very small samples they miss real ones. Always read them next to the box plot rather than instead of it.</w:t>
      </w:r>
    </w:p>
    <w:p w14:paraId="1B2B08BB" w14:textId="77777777" w:rsidR="002813CC" w:rsidRDefault="00000000">
      <w:pPr>
        <w:pStyle w:val="Heading3"/>
      </w:pPr>
      <w:r>
        <w:t>The third assumption, and the one test not covered here</w:t>
      </w:r>
    </w:p>
    <w:p w14:paraId="5CFAB9E9" w14:textId="77777777" w:rsidR="002813CC" w:rsidRDefault="00000000">
      <w:r>
        <w:t xml:space="preserve">There is a third assumption behind every test in this series: </w:t>
      </w:r>
      <w:r>
        <w:rPr>
          <w:b/>
        </w:rPr>
        <w:t>independence</w:t>
      </w:r>
      <w:r>
        <w:t xml:space="preserve"> — one observation tells you nothing about another. No test can check it for you; it is a fact about how the data were collected. It is why the stress study needed one row per person before we could compare groups.</w:t>
      </w:r>
    </w:p>
    <w:p w14:paraId="19BB0088" w14:textId="77777777" w:rsidR="002813CC" w:rsidRDefault="00000000">
      <w:r>
        <w:t xml:space="preserve">Repeated-measures designs add a fourth, </w:t>
      </w:r>
      <w:r>
        <w:rPr>
          <w:b/>
        </w:rPr>
        <w:t>sphericity</w:t>
      </w:r>
      <w:r>
        <w:t xml:space="preserve">, which applies when the same subject is measured three or more times. Plotara checks it with </w:t>
      </w:r>
      <w:r>
        <w:rPr>
          <w:rFonts w:ascii="Consolas" w:hAnsi="Consolas"/>
          <w:sz w:val="20"/>
        </w:rPr>
        <w:t>Diagnostics</w:t>
      </w:r>
      <w:r>
        <w:t xml:space="preserve"> → </w:t>
      </w:r>
      <w:r>
        <w:rPr>
          <w:rFonts w:ascii="Consolas" w:hAnsi="Consolas"/>
          <w:sz w:val="20"/>
        </w:rPr>
        <w:t>Mauchly's Sphericity</w:t>
      </w:r>
      <w:r>
        <w:t>, and it is covered in Guide 6, where it actually matters.</w:t>
      </w:r>
    </w:p>
    <w:p w14:paraId="36100F90" w14:textId="77777777" w:rsidR="002813CC" w:rsidRDefault="00000000">
      <w:pPr>
        <w:pStyle w:val="Heading2"/>
      </w:pPr>
      <w:r>
        <w:lastRenderedPageBreak/>
        <w:t>6.  Now try it yourself</w:t>
      </w:r>
    </w:p>
    <w:p w14:paraId="2131DCF5" w14:textId="77777777" w:rsidR="002813CC" w:rsidRDefault="00000000">
      <w:r>
        <w:t xml:space="preserve">Change only the </w:t>
      </w:r>
      <w:r>
        <w:rPr>
          <w:rFonts w:ascii="Consolas" w:hAnsi="Consolas"/>
          <w:sz w:val="20"/>
        </w:rPr>
        <w:t>Values Column</w:t>
      </w:r>
      <w:r>
        <w:t xml:space="preserve"> or the </w:t>
      </w:r>
      <w:r>
        <w:rPr>
          <w:rFonts w:ascii="Consolas" w:hAnsi="Consolas"/>
          <w:sz w:val="20"/>
        </w:rPr>
        <w:t>Grouping Variable</w:t>
      </w:r>
      <w:r>
        <w:t>, and run again.</w:t>
      </w:r>
    </w:p>
    <w:tbl>
      <w:tblPr>
        <w:tblStyle w:val="TableGrid"/>
        <w:tblW w:w="0" w:type="auto"/>
        <w:jc w:val="center"/>
        <w:tblLook w:val="04A0" w:firstRow="1" w:lastRow="0" w:firstColumn="1" w:lastColumn="0" w:noHBand="0" w:noVBand="1"/>
      </w:tblPr>
      <w:tblGrid>
        <w:gridCol w:w="3628"/>
        <w:gridCol w:w="5556"/>
      </w:tblGrid>
      <w:tr w:rsidR="002813CC" w14:paraId="22808E02" w14:textId="77777777">
        <w:trPr>
          <w:tblHeader/>
          <w:jc w:val="center"/>
        </w:trPr>
        <w:tc>
          <w:tcPr>
            <w:tcW w:w="3628" w:type="dxa"/>
            <w:shd w:val="clear" w:color="auto" w:fill="E8EFFC"/>
          </w:tcPr>
          <w:p w14:paraId="10F66E16" w14:textId="77777777" w:rsidR="002813CC" w:rsidRDefault="00000000">
            <w:pPr>
              <w:spacing w:before="60" w:after="60"/>
            </w:pPr>
            <w:r>
              <w:rPr>
                <w:b/>
                <w:sz w:val="19"/>
              </w:rPr>
              <w:t>Try this</w:t>
            </w:r>
          </w:p>
        </w:tc>
        <w:tc>
          <w:tcPr>
            <w:tcW w:w="5556" w:type="dxa"/>
            <w:shd w:val="clear" w:color="auto" w:fill="E8EFFC"/>
          </w:tcPr>
          <w:p w14:paraId="58E9F59E" w14:textId="77777777" w:rsidR="002813CC" w:rsidRDefault="00000000">
            <w:pPr>
              <w:spacing w:before="60" w:after="60"/>
            </w:pPr>
            <w:r>
              <w:rPr>
                <w:b/>
                <w:sz w:val="19"/>
              </w:rPr>
              <w:t>The question you are asking</w:t>
            </w:r>
          </w:p>
        </w:tc>
      </w:tr>
      <w:tr w:rsidR="002813CC" w14:paraId="115AAC68" w14:textId="77777777">
        <w:trPr>
          <w:jc w:val="center"/>
        </w:trPr>
        <w:tc>
          <w:tcPr>
            <w:tcW w:w="3628" w:type="dxa"/>
          </w:tcPr>
          <w:p w14:paraId="38D4B3E0" w14:textId="77777777" w:rsidR="002813CC" w:rsidRDefault="00000000">
            <w:pPr>
              <w:spacing w:before="60" w:after="60"/>
            </w:pPr>
            <w:r>
              <w:rPr>
                <w:rFonts w:ascii="Consolas" w:hAnsi="Consolas"/>
                <w:sz w:val="17"/>
              </w:rPr>
              <w:t>MemoryScore_pct</w:t>
            </w:r>
            <w:r>
              <w:rPr>
                <w:sz w:val="19"/>
              </w:rPr>
              <w:t xml:space="preserve"> by </w:t>
            </w:r>
            <w:r>
              <w:rPr>
                <w:rFonts w:ascii="Consolas" w:hAnsi="Consolas"/>
                <w:sz w:val="17"/>
              </w:rPr>
              <w:t>BrainRegion</w:t>
            </w:r>
          </w:p>
        </w:tc>
        <w:tc>
          <w:tcPr>
            <w:tcW w:w="5556" w:type="dxa"/>
          </w:tcPr>
          <w:p w14:paraId="53056759" w14:textId="77777777" w:rsidR="002813CC" w:rsidRDefault="00000000">
            <w:pPr>
              <w:spacing w:before="60" w:after="60"/>
            </w:pPr>
            <w:r>
              <w:rPr>
                <w:sz w:val="19"/>
              </w:rPr>
              <w:t>Is the memory measure normally distributed in each region?</w:t>
            </w:r>
          </w:p>
        </w:tc>
      </w:tr>
      <w:tr w:rsidR="002813CC" w14:paraId="6200B218" w14:textId="77777777">
        <w:trPr>
          <w:jc w:val="center"/>
        </w:trPr>
        <w:tc>
          <w:tcPr>
            <w:tcW w:w="3628" w:type="dxa"/>
          </w:tcPr>
          <w:p w14:paraId="5E94DAE9" w14:textId="77777777" w:rsidR="002813CC" w:rsidRDefault="00000000">
            <w:pPr>
              <w:spacing w:before="60" w:after="60"/>
            </w:pPr>
            <w:r>
              <w:rPr>
                <w:rFonts w:ascii="Consolas" w:hAnsi="Consolas"/>
                <w:sz w:val="17"/>
              </w:rPr>
              <w:t>ReactionTime_ms</w:t>
            </w:r>
            <w:r>
              <w:rPr>
                <w:sz w:val="19"/>
              </w:rPr>
              <w:t xml:space="preserve"> by </w:t>
            </w:r>
            <w:r>
              <w:rPr>
                <w:rFonts w:ascii="Consolas" w:hAnsi="Consolas"/>
                <w:sz w:val="17"/>
              </w:rPr>
              <w:t>BrainRegion</w:t>
            </w:r>
          </w:p>
        </w:tc>
        <w:tc>
          <w:tcPr>
            <w:tcW w:w="5556" w:type="dxa"/>
          </w:tcPr>
          <w:p w14:paraId="0F9F0147" w14:textId="77777777" w:rsidR="002813CC" w:rsidRDefault="00000000">
            <w:pPr>
              <w:spacing w:before="60" w:after="60"/>
            </w:pPr>
            <w:r>
              <w:rPr>
                <w:sz w:val="19"/>
              </w:rPr>
              <w:t>Reaction times are often skewed — is this one?</w:t>
            </w:r>
          </w:p>
        </w:tc>
      </w:tr>
      <w:tr w:rsidR="002813CC" w14:paraId="3E409311" w14:textId="77777777">
        <w:trPr>
          <w:jc w:val="center"/>
        </w:trPr>
        <w:tc>
          <w:tcPr>
            <w:tcW w:w="3628" w:type="dxa"/>
          </w:tcPr>
          <w:p w14:paraId="4FBD307D" w14:textId="77777777" w:rsidR="002813CC" w:rsidRDefault="00000000">
            <w:pPr>
              <w:spacing w:before="60" w:after="60"/>
            </w:pPr>
            <w:r>
              <w:rPr>
                <w:rFonts w:ascii="Consolas" w:hAnsi="Consolas"/>
                <w:sz w:val="17"/>
              </w:rPr>
              <w:t>FiringRate_Hz</w:t>
            </w:r>
            <w:r>
              <w:rPr>
                <w:sz w:val="19"/>
              </w:rPr>
              <w:t xml:space="preserve"> by </w:t>
            </w:r>
            <w:r>
              <w:rPr>
                <w:rFonts w:ascii="Consolas" w:hAnsi="Consolas"/>
                <w:sz w:val="17"/>
              </w:rPr>
              <w:t>Genotype</w:t>
            </w:r>
          </w:p>
        </w:tc>
        <w:tc>
          <w:tcPr>
            <w:tcW w:w="5556" w:type="dxa"/>
          </w:tcPr>
          <w:p w14:paraId="27FA0939" w14:textId="77777777" w:rsidR="002813CC" w:rsidRDefault="00000000">
            <w:pPr>
              <w:spacing w:before="60" w:after="60"/>
            </w:pPr>
            <w:r>
              <w:rPr>
                <w:sz w:val="19"/>
              </w:rPr>
              <w:t>Do the two genotypes have equal variances?</w:t>
            </w:r>
          </w:p>
        </w:tc>
      </w:tr>
      <w:tr w:rsidR="002813CC" w14:paraId="02DBEE82" w14:textId="77777777">
        <w:trPr>
          <w:jc w:val="center"/>
        </w:trPr>
        <w:tc>
          <w:tcPr>
            <w:tcW w:w="3628" w:type="dxa"/>
          </w:tcPr>
          <w:p w14:paraId="4E56D854" w14:textId="77777777" w:rsidR="002813CC" w:rsidRDefault="00000000">
            <w:pPr>
              <w:spacing w:before="60" w:after="60"/>
            </w:pPr>
            <w:r>
              <w:rPr>
                <w:rFonts w:ascii="Consolas" w:hAnsi="Consolas"/>
                <w:sz w:val="17"/>
              </w:rPr>
              <w:t>SpineDensity_per10um</w:t>
            </w:r>
            <w:r>
              <w:rPr>
                <w:sz w:val="19"/>
              </w:rPr>
              <w:t xml:space="preserve"> by </w:t>
            </w:r>
            <w:r>
              <w:rPr>
                <w:rFonts w:ascii="Consolas" w:hAnsi="Consolas"/>
                <w:sz w:val="17"/>
              </w:rPr>
              <w:t>Treatment</w:t>
            </w:r>
          </w:p>
        </w:tc>
        <w:tc>
          <w:tcPr>
            <w:tcW w:w="5556" w:type="dxa"/>
          </w:tcPr>
          <w:p w14:paraId="74B5F098" w14:textId="77777777" w:rsidR="002813CC" w:rsidRDefault="00000000">
            <w:pPr>
              <w:spacing w:before="60" w:after="60"/>
            </w:pPr>
            <w:r>
              <w:rPr>
                <w:sz w:val="19"/>
              </w:rPr>
              <w:t>Both checks at once, on a different measure.</w:t>
            </w:r>
          </w:p>
        </w:tc>
      </w:tr>
    </w:tbl>
    <w:p w14:paraId="4A59AB4C" w14:textId="77777777" w:rsidR="002813CC" w:rsidRDefault="002813CC">
      <w:pPr>
        <w:spacing w:after="40"/>
      </w:pPr>
    </w:p>
    <w:p w14:paraId="6D0D53AF" w14:textId="77777777" w:rsidR="002813CC" w:rsidRDefault="00000000">
      <w:r>
        <w:t>Two things to notice:</w:t>
      </w:r>
    </w:p>
    <w:p w14:paraId="33503F96" w14:textId="77777777" w:rsidR="002813CC" w:rsidRDefault="00000000">
      <w:pPr>
        <w:pStyle w:val="ListBullet"/>
        <w:spacing w:after="60"/>
      </w:pPr>
      <w:r>
        <w:rPr>
          <w:b/>
        </w:rPr>
        <w:t>Some measures fail and some pass.</w:t>
      </w:r>
      <w:r>
        <w:t xml:space="preserve"> A dataset is not simply 'normal' or 'not' — each variable, within each grouping, has to be checked on its own.</w:t>
      </w:r>
    </w:p>
    <w:p w14:paraId="28A41D42" w14:textId="77777777" w:rsidR="002813CC" w:rsidRDefault="00000000">
      <w:pPr>
        <w:pStyle w:val="ListBullet"/>
        <w:spacing w:after="180"/>
      </w:pPr>
      <w:r>
        <w:rPr>
          <w:b/>
        </w:rPr>
        <w:t>Check the assumptions for the test you are actually going to run.</w:t>
      </w:r>
      <w:r>
        <w:t xml:space="preserve"> Normality within each group is what matters, not normality of the whole column mashed together.</w:t>
      </w:r>
    </w:p>
    <w:sectPr w:rsidR="002813CC" w:rsidSect="00034616">
      <w:footerReference w:type="default" r:id="rId12"/>
      <w:pgSz w:w="11906" w:h="16838"/>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E98959" w14:textId="77777777" w:rsidR="007117E7" w:rsidRDefault="007117E7">
      <w:pPr>
        <w:spacing w:after="0" w:line="240" w:lineRule="auto"/>
      </w:pPr>
      <w:r>
        <w:separator/>
      </w:r>
    </w:p>
  </w:endnote>
  <w:endnote w:type="continuationSeparator" w:id="0">
    <w:p w14:paraId="74782A57" w14:textId="77777777" w:rsidR="007117E7" w:rsidRDefault="00711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2EAD90" w14:textId="77777777" w:rsidR="002813CC" w:rsidRDefault="00000000">
    <w:pPr>
      <w:pStyle w:val="Footer"/>
      <w:jc w:val="center"/>
    </w:pPr>
    <w:r>
      <w:rPr>
        <w:color w:val="5B6471"/>
        <w:sz w:val="16"/>
      </w:rPr>
      <w:t xml:space="preserve">Plotara teaching </w:t>
    </w:r>
    <w:proofErr w:type="gramStart"/>
    <w:r>
      <w:rPr>
        <w:color w:val="5B6471"/>
        <w:sz w:val="16"/>
      </w:rPr>
      <w:t>series  |</w:t>
    </w:r>
    <w:proofErr w:type="gramEnd"/>
    <w:r>
      <w:rPr>
        <w:color w:val="5B6471"/>
        <w:sz w:val="16"/>
      </w:rPr>
      <w:t xml:space="preserve">  Checking assumptions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F25C43" w14:textId="77777777" w:rsidR="007117E7" w:rsidRDefault="007117E7">
      <w:pPr>
        <w:spacing w:after="0" w:line="240" w:lineRule="auto"/>
      </w:pPr>
      <w:r>
        <w:separator/>
      </w:r>
    </w:p>
  </w:footnote>
  <w:footnote w:type="continuationSeparator" w:id="0">
    <w:p w14:paraId="1DF525A0" w14:textId="77777777" w:rsidR="007117E7" w:rsidRDefault="007117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4450522">
    <w:abstractNumId w:val="8"/>
  </w:num>
  <w:num w:numId="2" w16cid:durableId="1372145229">
    <w:abstractNumId w:val="6"/>
  </w:num>
  <w:num w:numId="3" w16cid:durableId="1935478953">
    <w:abstractNumId w:val="5"/>
  </w:num>
  <w:num w:numId="4" w16cid:durableId="1288467931">
    <w:abstractNumId w:val="4"/>
  </w:num>
  <w:num w:numId="5" w16cid:durableId="1123037910">
    <w:abstractNumId w:val="7"/>
  </w:num>
  <w:num w:numId="6" w16cid:durableId="635184331">
    <w:abstractNumId w:val="3"/>
  </w:num>
  <w:num w:numId="7" w16cid:durableId="1167985685">
    <w:abstractNumId w:val="2"/>
  </w:num>
  <w:num w:numId="8" w16cid:durableId="613442740">
    <w:abstractNumId w:val="1"/>
  </w:num>
  <w:num w:numId="9" w16cid:durableId="93080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19EE"/>
    <w:rsid w:val="0015074B"/>
    <w:rsid w:val="001B66AF"/>
    <w:rsid w:val="002813CC"/>
    <w:rsid w:val="0029639D"/>
    <w:rsid w:val="00301E6B"/>
    <w:rsid w:val="00326F90"/>
    <w:rsid w:val="004D4334"/>
    <w:rsid w:val="006241B1"/>
    <w:rsid w:val="007117E7"/>
    <w:rsid w:val="00AA1D8D"/>
    <w:rsid w:val="00B47730"/>
    <w:rsid w:val="00B966B5"/>
    <w:rsid w:val="00C17C7B"/>
    <w:rsid w:val="00CA0178"/>
    <w:rsid w:val="00CB0664"/>
    <w:rsid w:val="00FB50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0F6790"/>
  <w14:defaultImageDpi w14:val="300"/>
  <w15:docId w15:val="{83FBEF9E-949D-1E46-8787-6C0C25CB3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69" w:lineRule="auto"/>
    </w:pPr>
    <w:rPr>
      <w:rFonts w:ascii="Calibri" w:hAnsi="Calibri"/>
      <w:color w:val="1F242E"/>
    </w:rPr>
  </w:style>
  <w:style w:type="paragraph" w:styleId="Heading1">
    <w:name w:val="heading 1"/>
    <w:basedOn w:val="Normal"/>
    <w:next w:val="Normal"/>
    <w:link w:val="Heading1Char"/>
    <w:uiPriority w:val="9"/>
    <w:qFormat/>
    <w:rsid w:val="00FC693F"/>
    <w:pPr>
      <w:keepNext/>
      <w:keepLines/>
      <w:spacing w:before="400"/>
      <w:outlineLvl w:val="0"/>
    </w:pPr>
    <w:rPr>
      <w:rFonts w:asciiTheme="majorHAnsi" w:eastAsiaTheme="majorEastAsia" w:hAnsiTheme="majorHAnsi" w:cstheme="majorBidi"/>
      <w:b/>
      <w:bCs/>
      <w:color w:val="3B6FD4"/>
      <w:sz w:val="34"/>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b/>
      <w:bCs/>
      <w:color w:val="3B6FD4"/>
      <w:sz w:val="27"/>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782</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Rebecca Jane Jones</cp:lastModifiedBy>
  <cp:revision>4</cp:revision>
  <dcterms:created xsi:type="dcterms:W3CDTF">2013-12-23T23:15:00Z</dcterms:created>
  <dcterms:modified xsi:type="dcterms:W3CDTF">2026-07-31T11:17:00Z</dcterms:modified>
  <cp:category/>
</cp:coreProperties>
</file>