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9E76E6" w14:textId="77777777" w:rsidR="00A94D30" w:rsidRDefault="00000000">
      <w:pPr>
        <w:spacing w:after="40"/>
      </w:pPr>
      <w:r>
        <w:rPr>
          <w:b/>
          <w:color w:val="3B6FD4"/>
          <w:sz w:val="19"/>
        </w:rPr>
        <w:t>PLOTARA TEACHING SERIES  ·  GUIDE 2</w:t>
      </w:r>
    </w:p>
    <w:p w14:paraId="4E43FE2A" w14:textId="77777777" w:rsidR="00A94D30" w:rsidRDefault="00000000">
      <w:pPr>
        <w:spacing w:after="80"/>
      </w:pPr>
      <w:r>
        <w:rPr>
          <w:b/>
          <w:sz w:val="52"/>
        </w:rPr>
        <w:t>The Independent-Samples t-Test</w:t>
      </w:r>
    </w:p>
    <w:p w14:paraId="217A7C55" w14:textId="77777777" w:rsidR="00A94D30" w:rsidRDefault="00000000">
      <w:pPr>
        <w:spacing w:after="200"/>
      </w:pPr>
      <w:r>
        <w:rPr>
          <w:color w:val="5B6471"/>
          <w:sz w:val="24"/>
        </w:rPr>
        <w:t>Did the programme actually work?</w:t>
      </w:r>
    </w:p>
    <w:p w14:paraId="73009202" w14:textId="77777777" w:rsidR="00A94D30" w:rsidRDefault="00A94D30">
      <w:pPr>
        <w:pBdr>
          <w:bottom w:val="single" w:sz="6" w:space="6" w:color="D6DCE6"/>
        </w:pBdr>
        <w:spacing w:before="40" w:after="40"/>
      </w:pPr>
    </w:p>
    <w:p w14:paraId="77EE3B5A" w14:textId="6E7F524F" w:rsidR="00A94D30" w:rsidRDefault="00000000">
      <w:pPr>
        <w:spacing w:after="40"/>
      </w:pPr>
      <w:r>
        <w:rPr>
          <w:b/>
          <w:sz w:val="19"/>
        </w:rPr>
        <w:t xml:space="preserve">Dataset:  </w:t>
      </w:r>
      <w:r w:rsidR="0021505A" w:rsidRPr="0021505A">
        <w:rPr>
          <w:bCs/>
          <w:sz w:val="19"/>
        </w:rPr>
        <w:t>Dataset_1_Stress_study.csv</w:t>
      </w:r>
    </w:p>
    <w:p w14:paraId="0967E9CE" w14:textId="77777777" w:rsidR="00A94D30" w:rsidRDefault="00A94D30">
      <w:pPr>
        <w:spacing w:after="80"/>
      </w:pPr>
    </w:p>
    <w:p w14:paraId="72812BEB" w14:textId="77777777" w:rsidR="00A94D30" w:rsidRDefault="00000000">
      <w:pPr>
        <w:pStyle w:val="Heading2"/>
      </w:pPr>
      <w:r>
        <w:t>1.  The data</w:t>
      </w:r>
    </w:p>
    <w:p w14:paraId="607EDD64" w14:textId="77777777" w:rsidR="00A94D30" w:rsidRDefault="00000000">
      <w:r>
        <w:t xml:space="preserve">120 adults took part in a ten-week stress-management study. Half were </w:t>
      </w:r>
      <w:r>
        <w:rPr>
          <w:b/>
        </w:rPr>
        <w:t>randomly assigned</w:t>
      </w:r>
      <w:r>
        <w:t xml:space="preserve"> to a wellbeing programme and half carried on as normal, and everyone was measured every week on stress, sleep, activity and heart rate.</w:t>
      </w:r>
    </w:p>
    <w:p w14:paraId="7E002B4D" w14:textId="52FC4A13" w:rsidR="00A94D30" w:rsidRDefault="00000000">
      <w:r>
        <w:t xml:space="preserve">Load </w:t>
      </w:r>
      <w:r w:rsidR="0021505A" w:rsidRPr="0021505A">
        <w:rPr>
          <w:rFonts w:ascii="Consolas" w:hAnsi="Consolas"/>
          <w:sz w:val="20"/>
        </w:rPr>
        <w:t>Dataset_1_Stress_study</w:t>
      </w:r>
      <w:r>
        <w:rPr>
          <w:rFonts w:ascii="Consolas" w:hAnsi="Consolas"/>
          <w:sz w:val="20"/>
        </w:rPr>
        <w:t>.csv</w:t>
      </w:r>
      <w:r>
        <w:t xml:space="preserve"> on the </w:t>
      </w:r>
      <w:r>
        <w:rPr>
          <w:rFonts w:ascii="Consolas" w:hAnsi="Consolas"/>
          <w:sz w:val="20"/>
        </w:rPr>
        <w:t>Data</w:t>
      </w:r>
      <w:r>
        <w:t xml:space="preserve"> tab — the summary version of the study, with each person's weekly measurements averaged into one row. </w:t>
      </w:r>
      <w:r>
        <w:rPr>
          <w:b/>
        </w:rPr>
        <w:t>120 rows, one per participant.</w:t>
      </w:r>
      <w:r>
        <w:t xml:space="preserve"> Two columns matter today: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6917"/>
      </w:tblGrid>
      <w:tr w:rsidR="00A94D30" w14:paraId="2F43304A" w14:textId="77777777">
        <w:trPr>
          <w:tblHeader/>
          <w:jc w:val="center"/>
        </w:trPr>
        <w:tc>
          <w:tcPr>
            <w:tcW w:w="2268" w:type="dxa"/>
            <w:shd w:val="clear" w:color="auto" w:fill="E8EFFC"/>
          </w:tcPr>
          <w:p w14:paraId="678A3157" w14:textId="77777777" w:rsidR="00A94D30" w:rsidRDefault="00000000">
            <w:pPr>
              <w:spacing w:before="60" w:after="60"/>
            </w:pPr>
            <w:r>
              <w:rPr>
                <w:b/>
                <w:sz w:val="19"/>
              </w:rPr>
              <w:t>Column</w:t>
            </w:r>
          </w:p>
        </w:tc>
        <w:tc>
          <w:tcPr>
            <w:tcW w:w="6917" w:type="dxa"/>
            <w:shd w:val="clear" w:color="auto" w:fill="E8EFFC"/>
          </w:tcPr>
          <w:p w14:paraId="3B93C6EC" w14:textId="77777777" w:rsidR="00A94D30" w:rsidRDefault="00000000">
            <w:pPr>
              <w:spacing w:before="60" w:after="60"/>
            </w:pPr>
            <w:r>
              <w:rPr>
                <w:b/>
                <w:sz w:val="19"/>
              </w:rPr>
              <w:t>What it is</w:t>
            </w:r>
          </w:p>
        </w:tc>
      </w:tr>
      <w:tr w:rsidR="00A94D30" w14:paraId="6BA19C77" w14:textId="77777777">
        <w:trPr>
          <w:jc w:val="center"/>
        </w:trPr>
        <w:tc>
          <w:tcPr>
            <w:tcW w:w="2268" w:type="dxa"/>
          </w:tcPr>
          <w:p w14:paraId="3FA05795" w14:textId="77777777" w:rsidR="00A94D30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group</w:t>
            </w:r>
          </w:p>
        </w:tc>
        <w:tc>
          <w:tcPr>
            <w:tcW w:w="6917" w:type="dxa"/>
          </w:tcPr>
          <w:p w14:paraId="054CBAA9" w14:textId="77777777" w:rsidR="00A94D30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Control</w:t>
            </w:r>
            <w:r>
              <w:rPr>
                <w:sz w:val="19"/>
              </w:rPr>
              <w:t xml:space="preserve"> or </w:t>
            </w:r>
            <w:r>
              <w:rPr>
                <w:rFonts w:ascii="Consolas" w:hAnsi="Consolas"/>
                <w:sz w:val="17"/>
              </w:rPr>
              <w:t>Treatment</w:t>
            </w:r>
            <w:r>
              <w:rPr>
                <w:sz w:val="19"/>
              </w:rPr>
              <w:t xml:space="preserve"> — which arm of the study the person was in.</w:t>
            </w:r>
          </w:p>
        </w:tc>
      </w:tr>
      <w:tr w:rsidR="00A94D30" w14:paraId="41DF79B0" w14:textId="77777777">
        <w:trPr>
          <w:jc w:val="center"/>
        </w:trPr>
        <w:tc>
          <w:tcPr>
            <w:tcW w:w="2268" w:type="dxa"/>
          </w:tcPr>
          <w:p w14:paraId="31FC6E7A" w14:textId="77777777" w:rsidR="00A94D30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stress_post</w:t>
            </w:r>
          </w:p>
        </w:tc>
        <w:tc>
          <w:tcPr>
            <w:tcW w:w="6917" w:type="dxa"/>
          </w:tcPr>
          <w:p w14:paraId="3C2711B7" w14:textId="77777777" w:rsidR="00A94D30" w:rsidRDefault="00000000">
            <w:pPr>
              <w:spacing w:before="60" w:after="60"/>
            </w:pPr>
            <w:r>
              <w:rPr>
                <w:sz w:val="19"/>
              </w:rPr>
              <w:t>Their average stress score in the final phase of the study.</w:t>
            </w:r>
          </w:p>
        </w:tc>
      </w:tr>
    </w:tbl>
    <w:p w14:paraId="354C3778" w14:textId="77777777" w:rsidR="00A94D30" w:rsidRDefault="00A94D30">
      <w:pPr>
        <w:spacing w:after="40"/>
      </w:pPr>
    </w:p>
    <w:p w14:paraId="47F8CAF6" w14:textId="77777777" w:rsidR="00A94D30" w:rsidRDefault="00000000">
      <w:pPr>
        <w:pStyle w:val="Heading2"/>
      </w:pPr>
      <w:r>
        <w:t>2.  The question</w:t>
      </w:r>
    </w:p>
    <w:p w14:paraId="2E8F2D70" w14:textId="77777777" w:rsidR="00A94D30" w:rsidRDefault="00000000">
      <w:r>
        <w:rPr>
          <w:b/>
        </w:rPr>
        <w:t>Were people who did the programme less stressed at the end than people who did not?</w:t>
      </w:r>
      <w:r>
        <w:t xml:space="preserve"> On the </w:t>
      </w:r>
      <w:r>
        <w:rPr>
          <w:rFonts w:ascii="Consolas" w:hAnsi="Consolas"/>
          <w:sz w:val="20"/>
        </w:rPr>
        <w:t>Plotting</w:t>
      </w:r>
      <w:r>
        <w:t xml:space="preserve"> tab:</w:t>
      </w:r>
    </w:p>
    <w:p w14:paraId="45CEF502" w14:textId="77777777" w:rsidR="00A94D30" w:rsidRDefault="00000000">
      <w:pPr>
        <w:pStyle w:val="ListNumber"/>
        <w:spacing w:after="60"/>
      </w:pPr>
      <w:r>
        <w:t xml:space="preserve">Choose </w:t>
      </w:r>
      <w:r>
        <w:rPr>
          <w:rFonts w:ascii="Consolas" w:hAnsi="Consolas"/>
          <w:sz w:val="20"/>
        </w:rPr>
        <w:t>Box Plot</w:t>
      </w:r>
      <w:r>
        <w:t>.</w:t>
      </w:r>
    </w:p>
    <w:p w14:paraId="2F9A26F8" w14:textId="5F499EC8" w:rsidR="00A94D30" w:rsidRDefault="008151D6">
      <w:pPr>
        <w:pStyle w:val="ListNumber"/>
        <w:spacing w:after="18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25C96B0" wp14:editId="62AF8EFB">
            <wp:simplePos x="0" y="0"/>
            <wp:positionH relativeFrom="column">
              <wp:posOffset>711542</wp:posOffset>
            </wp:positionH>
            <wp:positionV relativeFrom="paragraph">
              <wp:posOffset>432337</wp:posOffset>
            </wp:positionV>
            <wp:extent cx="4176346" cy="2487083"/>
            <wp:effectExtent l="0" t="0" r="2540" b="2540"/>
            <wp:wrapTopAndBottom/>
            <wp:docPr id="6258896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889656" name="Picture 62588965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76346" cy="24870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nsolas" w:hAnsi="Consolas"/>
          <w:sz w:val="20"/>
        </w:rPr>
        <w:t>X Axis</w:t>
      </w:r>
      <w:r>
        <w:t xml:space="preserve"> → </w:t>
      </w:r>
      <w:proofErr w:type="gramStart"/>
      <w:r>
        <w:rPr>
          <w:rFonts w:ascii="Consolas" w:hAnsi="Consolas"/>
          <w:sz w:val="20"/>
        </w:rPr>
        <w:t>group</w:t>
      </w:r>
      <w:r>
        <w:t xml:space="preserve">,  </w:t>
      </w:r>
      <w:r>
        <w:rPr>
          <w:rFonts w:ascii="Consolas" w:hAnsi="Consolas"/>
          <w:sz w:val="20"/>
        </w:rPr>
        <w:t>Y</w:t>
      </w:r>
      <w:proofErr w:type="gramEnd"/>
      <w:r>
        <w:rPr>
          <w:rFonts w:ascii="Consolas" w:hAnsi="Consolas"/>
          <w:sz w:val="20"/>
        </w:rPr>
        <w:t xml:space="preserve"> Axis</w:t>
      </w:r>
      <w:r>
        <w:t xml:space="preserve"> → </w:t>
      </w:r>
      <w:r>
        <w:rPr>
          <w:rFonts w:ascii="Consolas" w:hAnsi="Consolas"/>
          <w:sz w:val="20"/>
        </w:rPr>
        <w:t>stress_post</w:t>
      </w:r>
      <w:r>
        <w:t>.</w:t>
      </w:r>
    </w:p>
    <w:p w14:paraId="245E7C16" w14:textId="219B5647" w:rsidR="008151D6" w:rsidRDefault="008151D6" w:rsidP="008151D6">
      <w:pPr>
        <w:pStyle w:val="ListNumber"/>
        <w:numPr>
          <w:ilvl w:val="0"/>
          <w:numId w:val="0"/>
        </w:numPr>
        <w:spacing w:after="180"/>
        <w:ind w:left="360"/>
      </w:pPr>
    </w:p>
    <w:p w14:paraId="20B33821" w14:textId="77777777" w:rsidR="00A94D30" w:rsidRDefault="00000000">
      <w:pPr>
        <w:spacing w:after="200"/>
      </w:pPr>
      <w:r>
        <w:rPr>
          <w:i/>
          <w:color w:val="5B6471"/>
          <w:sz w:val="18"/>
        </w:rPr>
        <w:t>Figure 1. Final stress scores in the two arms of the study.</w:t>
      </w:r>
    </w:p>
    <w:p w14:paraId="167CFAFF" w14:textId="77777777" w:rsidR="00A94D30" w:rsidRDefault="00000000">
      <w:r>
        <w:lastRenderedPageBreak/>
        <w:t xml:space="preserve">The two boxes barely overlap. But two groups of 60 people will always differ </w:t>
      </w:r>
      <w:r>
        <w:rPr>
          <w:i/>
        </w:rPr>
        <w:t>a bit</w:t>
      </w:r>
      <w:r>
        <w:t>, so we still need the test to tell us whether a gap this size is more than sampling noise.</w:t>
      </w:r>
    </w:p>
    <w:p w14:paraId="53B5BFAC" w14:textId="77777777" w:rsidR="00A94D30" w:rsidRDefault="00000000">
      <w:pPr>
        <w:pStyle w:val="Heading2"/>
      </w:pPr>
      <w:r>
        <w:t>3.  Which test, and why</w:t>
      </w:r>
    </w:p>
    <w:p w14:paraId="7E87000F" w14:textId="77777777" w:rsidR="00A94D30" w:rsidRDefault="00000000">
      <w:r>
        <w:t xml:space="preserve">The outcome is a continuous score, and the two sets of scores come from </w:t>
      </w:r>
      <w:r>
        <w:rPr>
          <w:b/>
        </w:rPr>
        <w:t>different people</w:t>
      </w:r>
      <w:r>
        <w:t xml:space="preserve"> — nobody is in both groups. Each person contributes exactly one number.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02"/>
        <w:gridCol w:w="4082"/>
      </w:tblGrid>
      <w:tr w:rsidR="00A94D30" w14:paraId="52809837" w14:textId="77777777">
        <w:trPr>
          <w:tblHeader/>
          <w:jc w:val="center"/>
        </w:trPr>
        <w:tc>
          <w:tcPr>
            <w:tcW w:w="5102" w:type="dxa"/>
            <w:shd w:val="clear" w:color="auto" w:fill="E8EFFC"/>
          </w:tcPr>
          <w:p w14:paraId="1C1A4E7D" w14:textId="77777777" w:rsidR="00A94D30" w:rsidRDefault="00000000">
            <w:pPr>
              <w:spacing w:before="60" w:after="60"/>
            </w:pPr>
            <w:r>
              <w:rPr>
                <w:b/>
                <w:sz w:val="19"/>
              </w:rPr>
              <w:t>If the two sets of scores came from…</w:t>
            </w:r>
          </w:p>
        </w:tc>
        <w:tc>
          <w:tcPr>
            <w:tcW w:w="4082" w:type="dxa"/>
            <w:shd w:val="clear" w:color="auto" w:fill="E8EFFC"/>
          </w:tcPr>
          <w:p w14:paraId="3841E1CF" w14:textId="77777777" w:rsidR="00A94D30" w:rsidRDefault="00000000">
            <w:pPr>
              <w:spacing w:before="60" w:after="60"/>
            </w:pPr>
            <w:r>
              <w:rPr>
                <w:b/>
                <w:sz w:val="19"/>
              </w:rPr>
              <w:t>Use</w:t>
            </w:r>
          </w:p>
        </w:tc>
      </w:tr>
      <w:tr w:rsidR="00A94D30" w14:paraId="58A21D74" w14:textId="77777777">
        <w:trPr>
          <w:jc w:val="center"/>
        </w:trPr>
        <w:tc>
          <w:tcPr>
            <w:tcW w:w="5102" w:type="dxa"/>
          </w:tcPr>
          <w:p w14:paraId="2A5C63E7" w14:textId="77777777" w:rsidR="00A94D30" w:rsidRDefault="00000000">
            <w:pPr>
              <w:spacing w:before="60" w:after="60"/>
            </w:pPr>
            <w:r>
              <w:rPr>
                <w:b/>
                <w:sz w:val="19"/>
              </w:rPr>
              <w:t>Different</w:t>
            </w:r>
            <w:r>
              <w:rPr>
                <w:sz w:val="19"/>
              </w:rPr>
              <w:t xml:space="preserve"> people</w:t>
            </w:r>
          </w:p>
        </w:tc>
        <w:tc>
          <w:tcPr>
            <w:tcW w:w="4082" w:type="dxa"/>
          </w:tcPr>
          <w:p w14:paraId="35715A4D" w14:textId="77777777" w:rsidR="00A94D30" w:rsidRDefault="00000000">
            <w:pPr>
              <w:spacing w:before="60" w:after="60"/>
            </w:pPr>
            <w:r>
              <w:rPr>
                <w:b/>
                <w:sz w:val="19"/>
              </w:rPr>
              <w:t>Independent-samples t-test</w:t>
            </w:r>
            <w:r>
              <w:rPr>
                <w:sz w:val="19"/>
              </w:rPr>
              <w:t xml:space="preserve">  ← us</w:t>
            </w:r>
          </w:p>
        </w:tc>
      </w:tr>
      <w:tr w:rsidR="00A94D30" w14:paraId="3D3A1D58" w14:textId="77777777">
        <w:trPr>
          <w:jc w:val="center"/>
        </w:trPr>
        <w:tc>
          <w:tcPr>
            <w:tcW w:w="5102" w:type="dxa"/>
          </w:tcPr>
          <w:p w14:paraId="5E50D10B" w14:textId="77777777" w:rsidR="00A94D30" w:rsidRDefault="00000000">
            <w:pPr>
              <w:spacing w:before="60" w:after="60"/>
            </w:pPr>
            <w:r>
              <w:rPr>
                <w:sz w:val="19"/>
              </w:rPr>
              <w:t xml:space="preserve">The </w:t>
            </w:r>
            <w:r>
              <w:rPr>
                <w:b/>
                <w:sz w:val="19"/>
              </w:rPr>
              <w:t>same</w:t>
            </w:r>
            <w:r>
              <w:rPr>
                <w:sz w:val="19"/>
              </w:rPr>
              <w:t xml:space="preserve"> people, measured twice</w:t>
            </w:r>
          </w:p>
        </w:tc>
        <w:tc>
          <w:tcPr>
            <w:tcW w:w="4082" w:type="dxa"/>
          </w:tcPr>
          <w:p w14:paraId="5D706E08" w14:textId="77777777" w:rsidR="00A94D30" w:rsidRDefault="00000000">
            <w:pPr>
              <w:spacing w:before="60" w:after="60"/>
            </w:pPr>
            <w:r>
              <w:rPr>
                <w:sz w:val="19"/>
              </w:rPr>
              <w:t>Paired-samples t-test (Guide 3)</w:t>
            </w:r>
          </w:p>
        </w:tc>
      </w:tr>
      <w:tr w:rsidR="00A94D30" w14:paraId="24B4B951" w14:textId="77777777">
        <w:trPr>
          <w:jc w:val="center"/>
        </w:trPr>
        <w:tc>
          <w:tcPr>
            <w:tcW w:w="5102" w:type="dxa"/>
          </w:tcPr>
          <w:p w14:paraId="79849D25" w14:textId="77777777" w:rsidR="00A94D30" w:rsidRDefault="00000000">
            <w:pPr>
              <w:spacing w:before="60" w:after="60"/>
            </w:pPr>
            <w:r>
              <w:rPr>
                <w:b/>
                <w:sz w:val="19"/>
              </w:rPr>
              <w:t>Three or more</w:t>
            </w:r>
            <w:r>
              <w:rPr>
                <w:sz w:val="19"/>
              </w:rPr>
              <w:t xml:space="preserve"> different groups</w:t>
            </w:r>
          </w:p>
        </w:tc>
        <w:tc>
          <w:tcPr>
            <w:tcW w:w="4082" w:type="dxa"/>
          </w:tcPr>
          <w:p w14:paraId="6F8D8F06" w14:textId="77777777" w:rsidR="00A94D30" w:rsidRDefault="00000000">
            <w:pPr>
              <w:spacing w:before="60" w:after="60"/>
            </w:pPr>
            <w:r>
              <w:rPr>
                <w:sz w:val="19"/>
              </w:rPr>
              <w:t>One-way ANOVA (Guide 5)</w:t>
            </w:r>
          </w:p>
        </w:tc>
      </w:tr>
    </w:tbl>
    <w:p w14:paraId="44360DB3" w14:textId="77777777" w:rsidR="00A94D30" w:rsidRDefault="00A94D30">
      <w:pPr>
        <w:spacing w:after="40"/>
      </w:pPr>
    </w:p>
    <w:p w14:paraId="68B86B7C" w14:textId="77777777" w:rsidR="00A94D30" w:rsidRDefault="00000000">
      <w:r>
        <w:t xml:space="preserve">Because the two groups were formed by </w:t>
      </w:r>
      <w:r>
        <w:rPr>
          <w:b/>
        </w:rPr>
        <w:t>random assignment</w:t>
      </w:r>
      <w:r>
        <w:t xml:space="preserve">, and because their stress scores at the start were near-identical, a difference at the end is good evidence that the programme itself caused it. That is a claim about the study design, not about the statistics — the same test on two groups you merely </w:t>
      </w:r>
      <w:r>
        <w:rPr>
          <w:i/>
        </w:rPr>
        <w:t>found</w:t>
      </w:r>
      <w:r>
        <w:t xml:space="preserve"> (smokers vs non-smokers, say) would not license it.</w:t>
      </w:r>
    </w:p>
    <w:p w14:paraId="06005DA0" w14:textId="77777777" w:rsidR="00A94D30" w:rsidRDefault="00000000">
      <w:pPr>
        <w:pStyle w:val="Heading2"/>
      </w:pPr>
      <w:r>
        <w:t>4.  Running the test</w:t>
      </w:r>
    </w:p>
    <w:p w14:paraId="571473FA" w14:textId="77777777" w:rsidR="00A94D30" w:rsidRDefault="00000000">
      <w:r>
        <w:rPr>
          <w:rFonts w:ascii="Consolas" w:hAnsi="Consolas"/>
          <w:sz w:val="20"/>
        </w:rPr>
        <w:t>Statistics</w:t>
      </w:r>
      <w:r>
        <w:t xml:space="preserve"> tab → </w:t>
      </w:r>
      <w:r>
        <w:rPr>
          <w:rFonts w:ascii="Consolas" w:hAnsi="Consolas"/>
          <w:sz w:val="20"/>
        </w:rPr>
        <w:t>T-Tests</w:t>
      </w:r>
      <w:r>
        <w:t xml:space="preserve"> → </w:t>
      </w:r>
      <w:r>
        <w:rPr>
          <w:rFonts w:ascii="Consolas" w:hAnsi="Consolas"/>
          <w:sz w:val="20"/>
        </w:rPr>
        <w:t>Independent T-Test</w:t>
      </w:r>
      <w:r>
        <w:t>.</w:t>
      </w:r>
    </w:p>
    <w:p w14:paraId="46B22825" w14:textId="77777777" w:rsidR="00A94D30" w:rsidRDefault="00000000">
      <w:r>
        <w:t xml:space="preserve">Switch </w:t>
      </w:r>
      <w:r>
        <w:rPr>
          <w:rFonts w:ascii="Consolas" w:hAnsi="Consolas"/>
          <w:b/>
          <w:sz w:val="20"/>
        </w:rPr>
        <w:t>Long Format Data</w:t>
      </w:r>
      <w:r>
        <w:rPr>
          <w:b/>
        </w:rPr>
        <w:t xml:space="preserve"> on</w:t>
      </w:r>
      <w:r>
        <w:t xml:space="preserve">. That sounds wrong for a file with one row per person, but it is the right switch: it means </w:t>
      </w:r>
      <w:r>
        <w:rPr>
          <w:i/>
        </w:rPr>
        <w:t>the scores for both groups live in one column, with a second column saying which group each row belongs to</w:t>
      </w:r>
      <w:r>
        <w:t>. Then:</w:t>
      </w:r>
    </w:p>
    <w:p w14:paraId="3BBAE39E" w14:textId="77777777" w:rsidR="00A94D30" w:rsidRDefault="00000000">
      <w:pPr>
        <w:pStyle w:val="ListNumber"/>
        <w:spacing w:after="60"/>
      </w:pPr>
      <w:r>
        <w:rPr>
          <w:rFonts w:ascii="Consolas" w:hAnsi="Consolas"/>
          <w:sz w:val="20"/>
        </w:rPr>
        <w:t>Values Column</w:t>
      </w:r>
      <w:r>
        <w:t xml:space="preserve"> → </w:t>
      </w:r>
      <w:r>
        <w:rPr>
          <w:rFonts w:ascii="Consolas" w:hAnsi="Consolas"/>
          <w:sz w:val="20"/>
        </w:rPr>
        <w:t>stress_post</w:t>
      </w:r>
    </w:p>
    <w:p w14:paraId="1C03A683" w14:textId="40C16A5D" w:rsidR="00A94D30" w:rsidRPr="008151D6" w:rsidRDefault="00000000" w:rsidP="008151D6">
      <w:pPr>
        <w:pStyle w:val="ListNumber"/>
        <w:spacing w:after="60"/>
      </w:pPr>
      <w:r>
        <w:rPr>
          <w:rFonts w:ascii="Consolas" w:hAnsi="Consolas"/>
          <w:sz w:val="20"/>
        </w:rPr>
        <w:t>Grouping Variable</w:t>
      </w:r>
      <w:r>
        <w:t xml:space="preserve"> → </w:t>
      </w:r>
      <w:r>
        <w:rPr>
          <w:rFonts w:ascii="Consolas" w:hAnsi="Consolas"/>
          <w:sz w:val="20"/>
        </w:rPr>
        <w:t>group</w:t>
      </w:r>
      <w:r w:rsidR="008151D6">
        <w:t xml:space="preserve">. </w:t>
      </w:r>
      <w:r w:rsidR="008151D6">
        <w:rPr>
          <w:rFonts w:ascii="Consolas" w:hAnsi="Consolas"/>
          <w:sz w:val="20"/>
        </w:rPr>
        <w:t>G</w:t>
      </w:r>
      <w:r w:rsidRPr="008151D6">
        <w:rPr>
          <w:rFonts w:ascii="Consolas" w:hAnsi="Consolas"/>
          <w:sz w:val="20"/>
        </w:rPr>
        <w:t>roups to compare</w:t>
      </w:r>
      <w:r w:rsidR="008151D6">
        <w:t>:</w:t>
      </w:r>
      <w:r>
        <w:t xml:space="preserve"> </w:t>
      </w:r>
      <w:r w:rsidRPr="008151D6">
        <w:rPr>
          <w:rFonts w:ascii="Consolas" w:hAnsi="Consolas"/>
          <w:sz w:val="20"/>
        </w:rPr>
        <w:t>Control</w:t>
      </w:r>
      <w:r>
        <w:t xml:space="preserve"> and </w:t>
      </w:r>
      <w:r w:rsidRPr="008151D6">
        <w:rPr>
          <w:rFonts w:ascii="Consolas" w:hAnsi="Consolas"/>
          <w:sz w:val="20"/>
        </w:rPr>
        <w:t>Treatment</w:t>
      </w:r>
    </w:p>
    <w:p w14:paraId="05C7C7FB" w14:textId="40ECA00B" w:rsidR="008151D6" w:rsidRDefault="008151D6" w:rsidP="008151D6">
      <w:pPr>
        <w:pStyle w:val="ListNumber"/>
        <w:numPr>
          <w:ilvl w:val="0"/>
          <w:numId w:val="0"/>
        </w:numPr>
        <w:spacing w:after="180"/>
        <w:ind w:left="360"/>
      </w:pPr>
      <w:r w:rsidRPr="008151D6">
        <w:rPr>
          <w:noProof/>
        </w:rPr>
        <w:drawing>
          <wp:inline distT="0" distB="0" distL="0" distR="0" wp14:anchorId="50C4A90D" wp14:editId="0305808F">
            <wp:extent cx="4659923" cy="3350867"/>
            <wp:effectExtent l="0" t="0" r="1270" b="2540"/>
            <wp:docPr id="12425050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50506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77149" cy="3363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1E05B" w14:textId="77777777" w:rsidR="00A94D30" w:rsidRDefault="00000000">
      <w:pPr>
        <w:spacing w:after="200"/>
      </w:pPr>
      <w:r>
        <w:rPr>
          <w:i/>
          <w:color w:val="5B6471"/>
          <w:sz w:val="18"/>
        </w:rPr>
        <w:t>Figure 2. The completed set-up.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11"/>
      </w:tblGrid>
      <w:tr w:rsidR="00A94D30" w14:paraId="770F31CB" w14:textId="77777777">
        <w:tc>
          <w:tcPr>
            <w:tcW w:w="9411" w:type="dxa"/>
            <w:tcBorders>
              <w:top w:val="single" w:sz="6" w:space="0" w:color="8FB0E8"/>
              <w:left w:val="single" w:sz="6" w:space="0" w:color="8FB0E8"/>
              <w:bottom w:val="single" w:sz="6" w:space="0" w:color="8FB0E8"/>
              <w:right w:val="single" w:sz="6" w:space="0" w:color="8FB0E8"/>
            </w:tcBorders>
            <w:shd w:val="clear" w:color="auto" w:fill="E8EFFC"/>
          </w:tcPr>
          <w:p w14:paraId="4898B93C" w14:textId="77777777" w:rsidR="00A94D30" w:rsidRDefault="00000000">
            <w:pPr>
              <w:spacing w:before="80" w:after="40"/>
            </w:pPr>
            <w:r>
              <w:rPr>
                <w:b/>
                <w:sz w:val="20"/>
              </w:rPr>
              <w:lastRenderedPageBreak/>
              <w:t>Which group goes first?</w:t>
            </w:r>
          </w:p>
          <w:p w14:paraId="260709C9" w14:textId="77777777" w:rsidR="00A94D30" w:rsidRDefault="00000000">
            <w:pPr>
              <w:spacing w:after="120"/>
            </w:pPr>
            <w:r>
              <w:rPr>
                <w:sz w:val="20"/>
              </w:rPr>
              <w:t xml:space="preserve">Plotara reports the difference as </w:t>
            </w:r>
            <w:r>
              <w:rPr>
                <w:b/>
                <w:sz w:val="20"/>
              </w:rPr>
              <w:t>first group − second group</w:t>
            </w:r>
            <w:r>
              <w:rPr>
                <w:sz w:val="20"/>
              </w:rPr>
              <w:t xml:space="preserve">, so putting </w:t>
            </w:r>
            <w:r>
              <w:rPr>
                <w:rFonts w:ascii="Consolas" w:hAnsi="Consolas"/>
                <w:sz w:val="18"/>
              </w:rPr>
              <w:t>Control</w:t>
            </w:r>
            <w:r>
              <w:rPr>
                <w:sz w:val="20"/>
              </w:rPr>
              <w:t xml:space="preserve"> first makes a positive difference mean </w:t>
            </w:r>
            <w:r>
              <w:rPr>
                <w:i/>
                <w:sz w:val="20"/>
              </w:rPr>
              <w:t>the control group scored higher</w:t>
            </w:r>
            <w:r>
              <w:rPr>
                <w:sz w:val="20"/>
              </w:rPr>
              <w:t>. The p-value is identical either way; only the sign moves.</w:t>
            </w:r>
          </w:p>
        </w:tc>
      </w:tr>
    </w:tbl>
    <w:p w14:paraId="1CF6276B" w14:textId="77777777" w:rsidR="00A94D30" w:rsidRDefault="00A94D30">
      <w:pPr>
        <w:spacing w:after="40"/>
      </w:pPr>
    </w:p>
    <w:p w14:paraId="02484ACB" w14:textId="77777777" w:rsidR="00A94D30" w:rsidRDefault="00000000">
      <w:pPr>
        <w:pStyle w:val="Heading2"/>
      </w:pPr>
      <w:r>
        <w:t>5.  The result</w:t>
      </w:r>
    </w:p>
    <w:p w14:paraId="2A6A05F2" w14:textId="77777777" w:rsidR="00A94D30" w:rsidRDefault="00000000">
      <w:r>
        <w:t xml:space="preserve">Click </w:t>
      </w:r>
      <w:r>
        <w:rPr>
          <w:rFonts w:ascii="Consolas" w:hAnsi="Consolas"/>
          <w:sz w:val="20"/>
        </w:rPr>
        <w:t>Run Statistical Test</w:t>
      </w:r>
      <w:r>
        <w:t>.</w:t>
      </w:r>
    </w:p>
    <w:p w14:paraId="6D262329" w14:textId="77777777" w:rsidR="00A94D30" w:rsidRDefault="00000000">
      <w:r>
        <w:t xml:space="preserve">The panel comes back in three parts. An amber </w:t>
      </w:r>
      <w:r>
        <w:rPr>
          <w:b/>
        </w:rPr>
        <w:t>Cautions</w:t>
      </w:r>
      <w:r>
        <w:t xml:space="preserve"> strip at the top repeats anything the assumption checks flagged. Under it, a one-line </w:t>
      </w:r>
      <w:r>
        <w:rPr>
          <w:b/>
        </w:rPr>
        <w:t>Summary</w:t>
      </w:r>
      <w:r>
        <w:t xml:space="preserve"> of the result, with a </w:t>
      </w:r>
      <w:r>
        <w:rPr>
          <w:b/>
        </w:rPr>
        <w:t>Methods snippet</w:t>
      </w:r>
      <w:r>
        <w:t xml:space="preserve"> tab beside it. Under both, the full output.</w:t>
      </w:r>
    </w:p>
    <w:p w14:paraId="4092FC3F" w14:textId="08910763" w:rsidR="00102FF4" w:rsidRDefault="00102FF4">
      <w:r w:rsidRPr="00102FF4">
        <w:drawing>
          <wp:inline distT="0" distB="0" distL="0" distR="0" wp14:anchorId="3ED50707" wp14:editId="79F0155D">
            <wp:extent cx="5976620" cy="4822190"/>
            <wp:effectExtent l="0" t="0" r="5080" b="3810"/>
            <wp:docPr id="20820476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04764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76620" cy="482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339E9" w14:textId="77777777" w:rsidR="00A94D30" w:rsidRDefault="00000000">
      <w:pPr>
        <w:spacing w:after="200"/>
      </w:pPr>
      <w:r>
        <w:rPr>
          <w:i/>
          <w:color w:val="5B6471"/>
          <w:sz w:val="18"/>
        </w:rPr>
        <w:t>Figure 3. The output. The assumption checks run automatically and print underneath the result.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5329"/>
        <w:gridCol w:w="2154"/>
      </w:tblGrid>
      <w:tr w:rsidR="00A94D30" w14:paraId="7B99EE27" w14:textId="77777777">
        <w:trPr>
          <w:tblHeader/>
          <w:jc w:val="center"/>
        </w:trPr>
        <w:tc>
          <w:tcPr>
            <w:tcW w:w="1701" w:type="dxa"/>
            <w:shd w:val="clear" w:color="auto" w:fill="E8EFFC"/>
          </w:tcPr>
          <w:p w14:paraId="0DD19835" w14:textId="77777777" w:rsidR="00A94D30" w:rsidRDefault="00000000">
            <w:pPr>
              <w:spacing w:before="60" w:after="60"/>
            </w:pPr>
            <w:r>
              <w:rPr>
                <w:b/>
                <w:sz w:val="19"/>
              </w:rPr>
              <w:t>Line</w:t>
            </w:r>
          </w:p>
        </w:tc>
        <w:tc>
          <w:tcPr>
            <w:tcW w:w="5329" w:type="dxa"/>
            <w:shd w:val="clear" w:color="auto" w:fill="E8EFFC"/>
          </w:tcPr>
          <w:p w14:paraId="3CC8E6B2" w14:textId="77777777" w:rsidR="00A94D30" w:rsidRDefault="00000000">
            <w:pPr>
              <w:spacing w:before="60" w:after="60"/>
            </w:pPr>
            <w:r>
              <w:rPr>
                <w:b/>
                <w:sz w:val="19"/>
              </w:rPr>
              <w:t>What it means</w:t>
            </w:r>
          </w:p>
        </w:tc>
        <w:tc>
          <w:tcPr>
            <w:tcW w:w="2154" w:type="dxa"/>
            <w:shd w:val="clear" w:color="auto" w:fill="E8EFFC"/>
          </w:tcPr>
          <w:p w14:paraId="02471269" w14:textId="77777777" w:rsidR="00A94D30" w:rsidRDefault="00000000">
            <w:pPr>
              <w:spacing w:before="60" w:after="60"/>
            </w:pPr>
            <w:r>
              <w:rPr>
                <w:b/>
                <w:sz w:val="19"/>
              </w:rPr>
              <w:t>Ours</w:t>
            </w:r>
          </w:p>
        </w:tc>
      </w:tr>
      <w:tr w:rsidR="00A94D30" w14:paraId="29CD1F16" w14:textId="77777777">
        <w:trPr>
          <w:jc w:val="center"/>
        </w:trPr>
        <w:tc>
          <w:tcPr>
            <w:tcW w:w="1701" w:type="dxa"/>
          </w:tcPr>
          <w:p w14:paraId="5BFFC4FF" w14:textId="77777777" w:rsidR="00A94D30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Test Type</w:t>
            </w:r>
          </w:p>
        </w:tc>
        <w:tc>
          <w:tcPr>
            <w:tcW w:w="5329" w:type="dxa"/>
          </w:tcPr>
          <w:p w14:paraId="7E355F99" w14:textId="77777777" w:rsidR="00A94D30" w:rsidRDefault="00000000">
            <w:pPr>
              <w:spacing w:before="60" w:after="60"/>
            </w:pPr>
            <w:r>
              <w:rPr>
                <w:sz w:val="19"/>
              </w:rPr>
              <w:t>Which version of the t-test ran. Plotara always uses Welch's, which does not assume the two groups have equal spread — so this is the name to quote.</w:t>
            </w:r>
          </w:p>
        </w:tc>
        <w:tc>
          <w:tcPr>
            <w:tcW w:w="2154" w:type="dxa"/>
          </w:tcPr>
          <w:p w14:paraId="60A15F2D" w14:textId="77777777" w:rsidR="00A94D30" w:rsidRDefault="00000000">
            <w:pPr>
              <w:spacing w:before="60" w:after="60"/>
            </w:pPr>
            <w:r>
              <w:rPr>
                <w:sz w:val="19"/>
              </w:rPr>
              <w:t>Welch's t-test</w:t>
            </w:r>
          </w:p>
        </w:tc>
      </w:tr>
      <w:tr w:rsidR="00A94D30" w14:paraId="3028577C" w14:textId="77777777">
        <w:trPr>
          <w:jc w:val="center"/>
        </w:trPr>
        <w:tc>
          <w:tcPr>
            <w:tcW w:w="1701" w:type="dxa"/>
          </w:tcPr>
          <w:p w14:paraId="5B524E39" w14:textId="77777777" w:rsidR="00A94D30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t</w:t>
            </w:r>
            <w:r>
              <w:rPr>
                <w:sz w:val="19"/>
              </w:rPr>
              <w:t xml:space="preserve"> and </w:t>
            </w:r>
            <w:r>
              <w:rPr>
                <w:rFonts w:ascii="Consolas" w:hAnsi="Consolas"/>
                <w:sz w:val="17"/>
              </w:rPr>
              <w:t>df</w:t>
            </w:r>
          </w:p>
        </w:tc>
        <w:tc>
          <w:tcPr>
            <w:tcW w:w="5329" w:type="dxa"/>
          </w:tcPr>
          <w:p w14:paraId="7F8FBB71" w14:textId="77777777" w:rsidR="00A94D30" w:rsidRDefault="00000000">
            <w:pPr>
              <w:spacing w:before="60" w:after="60"/>
            </w:pPr>
            <w:r>
              <w:rPr>
                <w:sz w:val="19"/>
              </w:rPr>
              <w:t>The gap between the group means in standard errors. The decimal df is normal for Welch's test.</w:t>
            </w:r>
          </w:p>
        </w:tc>
        <w:tc>
          <w:tcPr>
            <w:tcW w:w="2154" w:type="dxa"/>
          </w:tcPr>
          <w:p w14:paraId="4816DCFB" w14:textId="77777777" w:rsidR="00A94D30" w:rsidRDefault="00000000">
            <w:pPr>
              <w:spacing w:before="60" w:after="60"/>
            </w:pPr>
            <w:r>
              <w:rPr>
                <w:sz w:val="19"/>
              </w:rPr>
              <w:t>t = 10.29, df = 116.99</w:t>
            </w:r>
          </w:p>
        </w:tc>
      </w:tr>
      <w:tr w:rsidR="00A94D30" w14:paraId="282301C6" w14:textId="77777777">
        <w:trPr>
          <w:jc w:val="center"/>
        </w:trPr>
        <w:tc>
          <w:tcPr>
            <w:tcW w:w="1701" w:type="dxa"/>
          </w:tcPr>
          <w:p w14:paraId="16B102C5" w14:textId="77777777" w:rsidR="00A94D30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P-Value</w:t>
            </w:r>
          </w:p>
        </w:tc>
        <w:tc>
          <w:tcPr>
            <w:tcW w:w="5329" w:type="dxa"/>
          </w:tcPr>
          <w:p w14:paraId="1FC4076D" w14:textId="77777777" w:rsidR="00A94D30" w:rsidRDefault="00000000">
            <w:pPr>
              <w:spacing w:before="60" w:after="60"/>
            </w:pPr>
            <w:r>
              <w:rPr>
                <w:sz w:val="19"/>
              </w:rPr>
              <w:t xml:space="preserve">How often two groups drawn from the same population would </w:t>
            </w:r>
            <w:r>
              <w:rPr>
                <w:sz w:val="19"/>
              </w:rPr>
              <w:lastRenderedPageBreak/>
              <w:t>differ this much.</w:t>
            </w:r>
          </w:p>
        </w:tc>
        <w:tc>
          <w:tcPr>
            <w:tcW w:w="2154" w:type="dxa"/>
          </w:tcPr>
          <w:p w14:paraId="3E5D9B7E" w14:textId="77777777" w:rsidR="00A94D30" w:rsidRDefault="00000000">
            <w:pPr>
              <w:spacing w:before="60" w:after="60"/>
            </w:pPr>
            <w:r>
              <w:rPr>
                <w:sz w:val="19"/>
              </w:rPr>
              <w:lastRenderedPageBreak/>
              <w:t>p &lt; 0.001</w:t>
            </w:r>
          </w:p>
        </w:tc>
      </w:tr>
      <w:tr w:rsidR="00A94D30" w14:paraId="4A31DE55" w14:textId="77777777">
        <w:trPr>
          <w:jc w:val="center"/>
        </w:trPr>
        <w:tc>
          <w:tcPr>
            <w:tcW w:w="1701" w:type="dxa"/>
          </w:tcPr>
          <w:p w14:paraId="6207C9F7" w14:textId="77777777" w:rsidR="00A94D30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95% CI</w:t>
            </w:r>
          </w:p>
        </w:tc>
        <w:tc>
          <w:tcPr>
            <w:tcW w:w="5329" w:type="dxa"/>
          </w:tcPr>
          <w:p w14:paraId="5FDBFC0B" w14:textId="77777777" w:rsidR="00A94D30" w:rsidRDefault="00000000">
            <w:pPr>
              <w:spacing w:before="60" w:after="60"/>
            </w:pPr>
            <w:r>
              <w:rPr>
                <w:sz w:val="19"/>
              </w:rPr>
              <w:t>The plausible range for the true difference between the groups. It does not include 0.</w:t>
            </w:r>
          </w:p>
        </w:tc>
        <w:tc>
          <w:tcPr>
            <w:tcW w:w="2154" w:type="dxa"/>
          </w:tcPr>
          <w:p w14:paraId="156120BE" w14:textId="77777777" w:rsidR="00A94D30" w:rsidRDefault="00000000">
            <w:pPr>
              <w:spacing w:before="60" w:after="60"/>
            </w:pPr>
            <w:r>
              <w:rPr>
                <w:sz w:val="19"/>
              </w:rPr>
              <w:t>13.68 to 20.21</w:t>
            </w:r>
          </w:p>
        </w:tc>
      </w:tr>
      <w:tr w:rsidR="00A94D30" w14:paraId="04679DD6" w14:textId="77777777">
        <w:trPr>
          <w:jc w:val="center"/>
        </w:trPr>
        <w:tc>
          <w:tcPr>
            <w:tcW w:w="1701" w:type="dxa"/>
          </w:tcPr>
          <w:p w14:paraId="6B1FC5EA" w14:textId="77777777" w:rsidR="00A94D30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Bayes Factor (BF10)</w:t>
            </w:r>
          </w:p>
        </w:tc>
        <w:tc>
          <w:tcPr>
            <w:tcW w:w="5329" w:type="dxa"/>
          </w:tcPr>
          <w:p w14:paraId="3CF8A31C" w14:textId="77777777" w:rsidR="00A94D30" w:rsidRDefault="00000000">
            <w:pPr>
              <w:spacing w:before="60" w:after="60"/>
            </w:pPr>
            <w:r>
              <w:rPr>
                <w:sz w:val="19"/>
              </w:rPr>
              <w:t>How much more likely the data are under a real difference than under none. Anything above 100 is decisive; skip it if your course does not use Bayesian statistics.</w:t>
            </w:r>
          </w:p>
        </w:tc>
        <w:tc>
          <w:tcPr>
            <w:tcW w:w="2154" w:type="dxa"/>
          </w:tcPr>
          <w:p w14:paraId="299641D0" w14:textId="77777777" w:rsidR="00A94D30" w:rsidRDefault="00000000">
            <w:pPr>
              <w:spacing w:before="60" w:after="60"/>
            </w:pPr>
            <w:r>
              <w:rPr>
                <w:sz w:val="19"/>
              </w:rPr>
              <w:t>9 x 10^14</w:t>
            </w:r>
          </w:p>
        </w:tc>
      </w:tr>
      <w:tr w:rsidR="00A94D30" w14:paraId="35CEDCF7" w14:textId="77777777">
        <w:trPr>
          <w:jc w:val="center"/>
        </w:trPr>
        <w:tc>
          <w:tcPr>
            <w:tcW w:w="1701" w:type="dxa"/>
          </w:tcPr>
          <w:p w14:paraId="762B3D64" w14:textId="77777777" w:rsidR="00A94D30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Cohen's d</w:t>
            </w:r>
          </w:p>
        </w:tc>
        <w:tc>
          <w:tcPr>
            <w:tcW w:w="5329" w:type="dxa"/>
          </w:tcPr>
          <w:p w14:paraId="73DF0F59" w14:textId="77777777" w:rsidR="00A94D30" w:rsidRDefault="00000000">
            <w:pPr>
              <w:spacing w:before="60" w:after="60"/>
            </w:pPr>
            <w:r>
              <w:rPr>
                <w:sz w:val="19"/>
              </w:rPr>
              <w:t>How big the gap is in standardised units.</w:t>
            </w:r>
          </w:p>
        </w:tc>
        <w:tc>
          <w:tcPr>
            <w:tcW w:w="2154" w:type="dxa"/>
          </w:tcPr>
          <w:p w14:paraId="4F5CCA6F" w14:textId="77777777" w:rsidR="00A94D30" w:rsidRDefault="00000000">
            <w:pPr>
              <w:spacing w:before="60" w:after="60"/>
            </w:pPr>
            <w:r>
              <w:rPr>
                <w:sz w:val="19"/>
              </w:rPr>
              <w:t>1.88 (Large)</w:t>
            </w:r>
          </w:p>
        </w:tc>
      </w:tr>
      <w:tr w:rsidR="00A94D30" w14:paraId="7F540446" w14:textId="77777777">
        <w:trPr>
          <w:jc w:val="center"/>
        </w:trPr>
        <w:tc>
          <w:tcPr>
            <w:tcW w:w="1701" w:type="dxa"/>
          </w:tcPr>
          <w:p w14:paraId="161EC2FB" w14:textId="77777777" w:rsidR="00A94D30" w:rsidRDefault="00000000">
            <w:pPr>
              <w:spacing w:before="60" w:after="60"/>
            </w:pPr>
            <w:r>
              <w:rPr>
                <w:sz w:val="19"/>
              </w:rPr>
              <w:t>The two means</w:t>
            </w:r>
          </w:p>
        </w:tc>
        <w:tc>
          <w:tcPr>
            <w:tcW w:w="5329" w:type="dxa"/>
          </w:tcPr>
          <w:p w14:paraId="352ADF6A" w14:textId="77777777" w:rsidR="00A94D30" w:rsidRDefault="00000000">
            <w:pPr>
              <w:spacing w:before="60" w:after="60"/>
            </w:pPr>
            <w:r>
              <w:rPr>
                <w:sz w:val="19"/>
              </w:rPr>
              <w:t>Your descriptive statistics, with each group's N.</w:t>
            </w:r>
          </w:p>
        </w:tc>
        <w:tc>
          <w:tcPr>
            <w:tcW w:w="2154" w:type="dxa"/>
          </w:tcPr>
          <w:p w14:paraId="48C9C33E" w14:textId="77777777" w:rsidR="00A94D30" w:rsidRDefault="00000000">
            <w:pPr>
              <w:spacing w:before="60" w:after="60"/>
            </w:pPr>
            <w:r>
              <w:rPr>
                <w:sz w:val="19"/>
              </w:rPr>
              <w:t>54.10 (8.59) vs 37.16 (9.43)</w:t>
            </w:r>
          </w:p>
        </w:tc>
      </w:tr>
    </w:tbl>
    <w:p w14:paraId="3D2E4B63" w14:textId="77777777" w:rsidR="00A94D30" w:rsidRDefault="00A94D30">
      <w:pPr>
        <w:spacing w:after="40"/>
      </w:pPr>
    </w:p>
    <w:p w14:paraId="340ED7E0" w14:textId="77777777" w:rsidR="00A94D30" w:rsidRDefault="00000000">
      <w:pPr>
        <w:pStyle w:val="Heading3"/>
      </w:pPr>
      <w:r>
        <w:t>Reading the assumption checks</w:t>
      </w:r>
    </w:p>
    <w:p w14:paraId="387C8E15" w14:textId="77777777" w:rsidR="00A94D30" w:rsidRDefault="00000000">
      <w:r>
        <w:t xml:space="preserve">Plotara runs the assumption checks for you and prints them in an </w:t>
      </w:r>
      <w:r>
        <w:rPr>
          <w:rFonts w:ascii="Consolas" w:hAnsi="Consolas"/>
          <w:sz w:val="20"/>
        </w:rPr>
        <w:t>ASSUMPTION CHECKS</w:t>
      </w:r>
      <w:r>
        <w:t xml:space="preserve"> block at the foot of the output. Anything they flag is repeated in the amber </w:t>
      </w:r>
      <w:r>
        <w:rPr>
          <w:b/>
        </w:rPr>
        <w:t>Cautions</w:t>
      </w:r>
      <w:r>
        <w:t xml:space="preserve"> strip at the top of the panel, so a failed check cannot slip past you. Ours reports </w:t>
      </w:r>
      <w:r>
        <w:rPr>
          <w:b/>
        </w:rPr>
        <w:t>Levene's test p = 0.45</w:t>
      </w:r>
      <w:r>
        <w:t xml:space="preserve"> — the two groups have similar spread — and flags the </w:t>
      </w:r>
      <w:r>
        <w:rPr>
          <w:rFonts w:ascii="Consolas" w:hAnsi="Consolas"/>
          <w:sz w:val="20"/>
        </w:rPr>
        <w:t>Control</w:t>
      </w:r>
      <w:r>
        <w:t xml:space="preserve"> group as slightly non-normal (p = 0.03).</w:t>
      </w:r>
    </w:p>
    <w:p w14:paraId="1D639013" w14:textId="77777777" w:rsidR="00A94D30" w:rsidRDefault="00000000">
      <w:r>
        <w:rPr>
          <w:b/>
        </w:rPr>
        <w:t>A caution is not an error.</w:t>
      </w:r>
      <w:r>
        <w:t xml:space="preserve"> It is Plotara telling you which assumption to think about, not refusing to answer. Here </w:t>
      </w:r>
      <w:r>
        <w:rPr>
          <w:rFonts w:ascii="Consolas" w:hAnsi="Consolas"/>
          <w:sz w:val="20"/>
        </w:rPr>
        <w:t>W = 0.955</w:t>
      </w:r>
      <w:r>
        <w:t xml:space="preserve"> is close to 1: the </w:t>
      </w:r>
      <w:r>
        <w:rPr>
          <w:rFonts w:ascii="Consolas" w:hAnsi="Consolas"/>
          <w:sz w:val="20"/>
        </w:rPr>
        <w:t>Control</w:t>
      </w:r>
      <w:r>
        <w:t xml:space="preserve"> scores are mildly lopsided, with no outliers. With 60 people per group Shapiro-Wilk is powerful enough to notice a departure that small — the same shape in 15 people would not be flagged at all. A normality flag is partly a statement about your sample size.</w:t>
      </w:r>
    </w:p>
    <w:p w14:paraId="55350111" w14:textId="77777777" w:rsidR="00A94D30" w:rsidRDefault="00000000">
      <w:r>
        <w:t xml:space="preserve">What the t-test needs is that each group's </w:t>
      </w:r>
      <w:r>
        <w:rPr>
          <w:b/>
        </w:rPr>
        <w:t>average</w:t>
      </w:r>
      <w:r>
        <w:t xml:space="preserve"> is normally distributed, not that the raw scores are, and 60 people per group gives you that comfortably. The rule of thumb: below about 20–30 per group, or with obvious skew or outliers at any size, take the flag seriously and switch to </w:t>
      </w:r>
      <w:r>
        <w:rPr>
          <w:rFonts w:ascii="Consolas" w:hAnsi="Consolas"/>
          <w:sz w:val="20"/>
        </w:rPr>
        <w:t>Nonparametric</w:t>
      </w:r>
      <w:r>
        <w:t xml:space="preserve"> → </w:t>
      </w:r>
      <w:r>
        <w:rPr>
          <w:rFonts w:ascii="Consolas" w:hAnsi="Consolas"/>
          <w:sz w:val="20"/>
        </w:rPr>
        <w:t>Mann-Whitney U</w:t>
      </w:r>
      <w:r>
        <w:t>. Above that, carry on. Guide 4 covers the assumption checks in their own right.</w:t>
      </w:r>
    </w:p>
    <w:p w14:paraId="6D76CAF4" w14:textId="77777777" w:rsidR="00A94D30" w:rsidRDefault="00000000">
      <w:r>
        <w:t>If you are unsure, run both. Mann-Whitney on this data gives p &lt; 0.001 with a large effect (r = 0.81) — the same verdict, so the flag changed nothing. When non-normality really is distorting a result, the two tests disagree, and that disagreement is the signal to act on — not the flag on its own.</w:t>
      </w:r>
    </w:p>
    <w:p w14:paraId="3D803B0C" w14:textId="77777777" w:rsidR="00A94D30" w:rsidRDefault="00000000">
      <w:r>
        <w:t xml:space="preserve">If Levene's test comes out </w:t>
      </w:r>
      <w:r>
        <w:rPr>
          <w:b/>
        </w:rPr>
        <w:t>significant</w:t>
      </w:r>
      <w:r>
        <w:t xml:space="preserve"> on one of your own analyses, the line will read </w:t>
      </w:r>
      <w:r>
        <w:rPr>
          <w:i/>
        </w:rPr>
        <w:t>✓ Unequal — Welch correction applied</w:t>
      </w:r>
      <w:r>
        <w:t>. The tick is deliberate: because Plotara always uses Welch's version, unequal spread has already been dealt with and there is nothing for you to change.</w:t>
      </w:r>
    </w:p>
    <w:p w14:paraId="0F9AF795" w14:textId="77777777" w:rsidR="00A94D30" w:rsidRDefault="00000000">
      <w:pPr>
        <w:pStyle w:val="Heading3"/>
      </w:pPr>
      <w:r>
        <w:t>Writing it up</w:t>
      </w:r>
    </w:p>
    <w:p w14:paraId="4718B7F7" w14:textId="77777777" w:rsidR="00A94D30" w:rsidRDefault="00000000">
      <w:r>
        <w:t xml:space="preserve">Participants who completed the programme ended the study around </w:t>
      </w:r>
      <w:r>
        <w:rPr>
          <w:b/>
        </w:rPr>
        <w:t>17 points</w:t>
      </w:r>
      <w:r>
        <w:t xml:space="preserve"> less stressed than the control group. You do not have to write that up from scratch — the </w:t>
      </w:r>
      <w:r>
        <w:rPr>
          <w:b/>
        </w:rPr>
        <w:t>Methods snippet</w:t>
      </w:r>
      <w:r>
        <w:t xml:space="preserve"> tab hands you the sentence, editable in place and ready to copy:</w:t>
      </w:r>
    </w:p>
    <w:p w14:paraId="0154F46C" w14:textId="77777777" w:rsidR="00A94D30" w:rsidRDefault="00000000">
      <w:r>
        <w:t>“An independent-samples t-test compared stress_post between Control and Treatment, with Welch's correction for unequal variances, a two-tailed test, 95% confidence intervals and Cohen's d as the effect size. There was a significant difference in stress_post between Control and Treatment (t(116.99) = 10.29, p &lt; 0.001, d = 1.88). Analyses were performed in Plotara (Python: SciPy/statsmodels); statistical significance was assessed at α = 0.05.”</w:t>
      </w:r>
    </w:p>
    <w:p w14:paraId="3331776D" w14:textId="77777777" w:rsidR="00A94D30" w:rsidRDefault="00000000">
      <w:r>
        <w:t>Add each group's mean and standard deviation from the output and you have the version a report wants:</w:t>
      </w:r>
    </w:p>
    <w:p w14:paraId="1A565859" w14:textId="77777777" w:rsidR="00A94D30" w:rsidRDefault="00000000">
      <w:r>
        <w:lastRenderedPageBreak/>
        <w:t>“Final stress scores were significantly lower in the treatment group (M = 37.16, SD = 9.43) than in the control group (M = 54.10, SD = 8.59), t(117) = 10.29, p &lt; .001, d = 1.88, 95% CI [13.68, 20.21].”</w:t>
      </w:r>
    </w:p>
    <w:p w14:paraId="7D880B18" w14:textId="77777777" w:rsidR="00A94D30" w:rsidRDefault="00000000">
      <w:pPr>
        <w:pStyle w:val="Heading2"/>
      </w:pPr>
      <w:r>
        <w:t>6.  Now try it yourself</w:t>
      </w:r>
    </w:p>
    <w:p w14:paraId="671EA3D5" w14:textId="77777777" w:rsidR="00A94D30" w:rsidRDefault="00000000">
      <w:r>
        <w:t xml:space="preserve">Keep </w:t>
      </w:r>
      <w:r>
        <w:rPr>
          <w:rFonts w:ascii="Consolas" w:hAnsi="Consolas"/>
          <w:sz w:val="20"/>
        </w:rPr>
        <w:t>Grouping Variable</w:t>
      </w:r>
      <w:r>
        <w:t xml:space="preserve"> on </w:t>
      </w:r>
      <w:r>
        <w:rPr>
          <w:rFonts w:ascii="Consolas" w:hAnsi="Consolas"/>
          <w:sz w:val="20"/>
        </w:rPr>
        <w:t>group</w:t>
      </w:r>
      <w:r>
        <w:t xml:space="preserve"> and change only the </w:t>
      </w:r>
      <w:r>
        <w:rPr>
          <w:rFonts w:ascii="Consolas" w:hAnsi="Consolas"/>
          <w:sz w:val="20"/>
        </w:rPr>
        <w:t>Values Column</w:t>
      </w:r>
      <w: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5783"/>
      </w:tblGrid>
      <w:tr w:rsidR="00A94D30" w14:paraId="14606374" w14:textId="77777777">
        <w:trPr>
          <w:tblHeader/>
          <w:jc w:val="center"/>
        </w:trPr>
        <w:tc>
          <w:tcPr>
            <w:tcW w:w="3402" w:type="dxa"/>
            <w:shd w:val="clear" w:color="auto" w:fill="E8EFFC"/>
          </w:tcPr>
          <w:p w14:paraId="1D8015D9" w14:textId="77777777" w:rsidR="00A94D30" w:rsidRDefault="00000000">
            <w:pPr>
              <w:spacing w:before="60" w:after="60"/>
            </w:pPr>
            <w:r>
              <w:rPr>
                <w:rFonts w:ascii="Consolas" w:hAnsi="Consolas"/>
                <w:b/>
                <w:sz w:val="17"/>
              </w:rPr>
              <w:t>Values Column</w:t>
            </w:r>
          </w:p>
        </w:tc>
        <w:tc>
          <w:tcPr>
            <w:tcW w:w="5783" w:type="dxa"/>
            <w:shd w:val="clear" w:color="auto" w:fill="E8EFFC"/>
          </w:tcPr>
          <w:p w14:paraId="55D2D5C9" w14:textId="77777777" w:rsidR="00A94D30" w:rsidRDefault="00000000">
            <w:pPr>
              <w:spacing w:before="60" w:after="60"/>
            </w:pPr>
            <w:r>
              <w:rPr>
                <w:b/>
                <w:sz w:val="19"/>
              </w:rPr>
              <w:t>The question you are asking</w:t>
            </w:r>
          </w:p>
        </w:tc>
      </w:tr>
      <w:tr w:rsidR="00A94D30" w14:paraId="08BEF6DB" w14:textId="77777777">
        <w:trPr>
          <w:jc w:val="center"/>
        </w:trPr>
        <w:tc>
          <w:tcPr>
            <w:tcW w:w="3402" w:type="dxa"/>
          </w:tcPr>
          <w:p w14:paraId="50D40E0A" w14:textId="77777777" w:rsidR="00A94D30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stress_baseline</w:t>
            </w:r>
          </w:p>
        </w:tc>
        <w:tc>
          <w:tcPr>
            <w:tcW w:w="5783" w:type="dxa"/>
          </w:tcPr>
          <w:p w14:paraId="722B789C" w14:textId="77777777" w:rsidR="00A94D30" w:rsidRDefault="00000000">
            <w:pPr>
              <w:spacing w:before="60" w:after="60"/>
            </w:pPr>
            <w:r>
              <w:rPr>
                <w:sz w:val="19"/>
              </w:rPr>
              <w:t xml:space="preserve">Were the two groups equally stressed </w:t>
            </w:r>
            <w:r>
              <w:rPr>
                <w:b/>
                <w:sz w:val="19"/>
              </w:rPr>
              <w:t>before</w:t>
            </w:r>
            <w:r>
              <w:rPr>
                <w:sz w:val="19"/>
              </w:rPr>
              <w:t xml:space="preserve"> the programme started?</w:t>
            </w:r>
          </w:p>
        </w:tc>
      </w:tr>
      <w:tr w:rsidR="00A94D30" w14:paraId="7BEAA27F" w14:textId="77777777">
        <w:trPr>
          <w:jc w:val="center"/>
        </w:trPr>
        <w:tc>
          <w:tcPr>
            <w:tcW w:w="3402" w:type="dxa"/>
          </w:tcPr>
          <w:p w14:paraId="2110DE8A" w14:textId="77777777" w:rsidR="00A94D30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steps_post</w:t>
            </w:r>
          </w:p>
        </w:tc>
        <w:tc>
          <w:tcPr>
            <w:tcW w:w="5783" w:type="dxa"/>
          </w:tcPr>
          <w:p w14:paraId="1F3629B4" w14:textId="77777777" w:rsidR="00A94D30" w:rsidRDefault="00000000">
            <w:pPr>
              <w:spacing w:before="60" w:after="60"/>
            </w:pPr>
            <w:r>
              <w:rPr>
                <w:sz w:val="19"/>
              </w:rPr>
              <w:t>Did the programme change how active people were?</w:t>
            </w:r>
          </w:p>
        </w:tc>
      </w:tr>
      <w:tr w:rsidR="00A94D30" w14:paraId="01DF1207" w14:textId="77777777">
        <w:trPr>
          <w:jc w:val="center"/>
        </w:trPr>
        <w:tc>
          <w:tcPr>
            <w:tcW w:w="3402" w:type="dxa"/>
          </w:tcPr>
          <w:p w14:paraId="7368E69B" w14:textId="77777777" w:rsidR="00A94D30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heart_rate_post</w:t>
            </w:r>
          </w:p>
        </w:tc>
        <w:tc>
          <w:tcPr>
            <w:tcW w:w="5783" w:type="dxa"/>
          </w:tcPr>
          <w:p w14:paraId="1A63CDE9" w14:textId="77777777" w:rsidR="00A94D30" w:rsidRDefault="00000000">
            <w:pPr>
              <w:spacing w:before="60" w:after="60"/>
            </w:pPr>
            <w:r>
              <w:rPr>
                <w:sz w:val="19"/>
              </w:rPr>
              <w:t>Did resting heart rate differ between the arms?</w:t>
            </w:r>
          </w:p>
        </w:tc>
      </w:tr>
      <w:tr w:rsidR="00A94D30" w14:paraId="4BE0B06C" w14:textId="77777777">
        <w:trPr>
          <w:jc w:val="center"/>
        </w:trPr>
        <w:tc>
          <w:tcPr>
            <w:tcW w:w="3402" w:type="dxa"/>
          </w:tcPr>
          <w:p w14:paraId="65C35ABA" w14:textId="77777777" w:rsidR="00A94D30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sleep_post</w:t>
            </w:r>
          </w:p>
        </w:tc>
        <w:tc>
          <w:tcPr>
            <w:tcW w:w="5783" w:type="dxa"/>
          </w:tcPr>
          <w:p w14:paraId="127C76A7" w14:textId="77777777" w:rsidR="00A94D30" w:rsidRDefault="00000000">
            <w:pPr>
              <w:spacing w:before="60" w:after="60"/>
            </w:pPr>
            <w:r>
              <w:rPr>
                <w:sz w:val="19"/>
              </w:rPr>
              <w:t>Did the programme change how much people slept?</w:t>
            </w:r>
          </w:p>
        </w:tc>
      </w:tr>
      <w:tr w:rsidR="00A94D30" w14:paraId="17819E06" w14:textId="77777777">
        <w:trPr>
          <w:jc w:val="center"/>
        </w:trPr>
        <w:tc>
          <w:tcPr>
            <w:tcW w:w="3402" w:type="dxa"/>
          </w:tcPr>
          <w:p w14:paraId="05DCEB37" w14:textId="77777777" w:rsidR="00A94D30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baseline_bmi</w:t>
            </w:r>
            <w:r>
              <w:rPr>
                <w:sz w:val="19"/>
              </w:rPr>
              <w:t xml:space="preserve">, </w:t>
            </w:r>
            <w:r>
              <w:rPr>
                <w:rFonts w:ascii="Consolas" w:hAnsi="Consolas"/>
                <w:sz w:val="17"/>
              </w:rPr>
              <w:t>age</w:t>
            </w:r>
          </w:p>
        </w:tc>
        <w:tc>
          <w:tcPr>
            <w:tcW w:w="5783" w:type="dxa"/>
          </w:tcPr>
          <w:p w14:paraId="07385781" w14:textId="77777777" w:rsidR="00A94D30" w:rsidRDefault="00000000">
            <w:pPr>
              <w:spacing w:before="60" w:after="60"/>
            </w:pPr>
            <w:r>
              <w:rPr>
                <w:sz w:val="19"/>
              </w:rPr>
              <w:t>Were the two groups similar to begin with?</w:t>
            </w:r>
          </w:p>
        </w:tc>
      </w:tr>
    </w:tbl>
    <w:p w14:paraId="6297FB75" w14:textId="77777777" w:rsidR="00A94D30" w:rsidRDefault="00A94D30">
      <w:pPr>
        <w:spacing w:after="40"/>
      </w:pPr>
    </w:p>
    <w:p w14:paraId="7B96A8F1" w14:textId="77777777" w:rsidR="00A94D30" w:rsidRDefault="00000000">
      <w:r>
        <w:t>Three things to notice:</w:t>
      </w:r>
    </w:p>
    <w:p w14:paraId="5DDC25E7" w14:textId="77777777" w:rsidR="00A94D30" w:rsidRDefault="00000000">
      <w:pPr>
        <w:pStyle w:val="ListBullet"/>
        <w:spacing w:after="60"/>
      </w:pPr>
      <w:r>
        <w:rPr>
          <w:rFonts w:ascii="Consolas" w:hAnsi="Consolas"/>
          <w:b/>
          <w:sz w:val="20"/>
        </w:rPr>
        <w:t>stress_baseline</w:t>
      </w:r>
      <w:r>
        <w:rPr>
          <w:b/>
        </w:rPr>
        <w:t xml:space="preserve"> should come out non-significant.</w:t>
      </w:r>
      <w:r>
        <w:t xml:space="preserve"> That is the point of random assignment, and checking it is a standard first move in any trial write-up.</w:t>
      </w:r>
    </w:p>
    <w:p w14:paraId="61A6EE9A" w14:textId="77777777" w:rsidR="00A94D30" w:rsidRDefault="00000000">
      <w:pPr>
        <w:pStyle w:val="ListBullet"/>
        <w:spacing w:after="60"/>
      </w:pPr>
      <w:r>
        <w:rPr>
          <w:b/>
        </w:rPr>
        <w:t>One outcome changes a lot and one barely changes at all.</w:t>
      </w:r>
      <w:r>
        <w:t xml:space="preserve"> A programme can work on the thing it targets without touching everything else.</w:t>
      </w:r>
    </w:p>
    <w:p w14:paraId="5C1C620F" w14:textId="77777777" w:rsidR="00A94D30" w:rsidRDefault="00000000">
      <w:pPr>
        <w:pStyle w:val="ListBullet"/>
        <w:spacing w:after="180"/>
      </w:pPr>
      <w:r>
        <w:rPr>
          <w:b/>
        </w:rPr>
        <w:t xml:space="preserve">Try switching </w:t>
      </w:r>
      <w:r>
        <w:rPr>
          <w:rFonts w:ascii="Consolas" w:hAnsi="Consolas"/>
          <w:b/>
          <w:sz w:val="20"/>
        </w:rPr>
        <w:t>Grouping Variable</w:t>
      </w:r>
      <w:r>
        <w:rPr>
          <w:b/>
        </w:rPr>
        <w:t xml:space="preserve"> to </w:t>
      </w:r>
      <w:r>
        <w:rPr>
          <w:rFonts w:ascii="Consolas" w:hAnsi="Consolas"/>
          <w:b/>
          <w:sz w:val="20"/>
        </w:rPr>
        <w:t>gender</w:t>
      </w:r>
      <w:r>
        <w:rPr>
          <w:b/>
        </w:rPr>
        <w:t>.</w:t>
      </w:r>
      <w:r>
        <w:t xml:space="preserve"> Nothing comes out significant — a useful reminder that the test only finds a difference when there is one.</w:t>
      </w:r>
    </w:p>
    <w:sectPr w:rsidR="00A94D30" w:rsidSect="00034616">
      <w:footerReference w:type="default" r:id="rId11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4161D4" w14:textId="77777777" w:rsidR="0097314A" w:rsidRDefault="0097314A">
      <w:pPr>
        <w:spacing w:after="0" w:line="240" w:lineRule="auto"/>
      </w:pPr>
      <w:r>
        <w:separator/>
      </w:r>
    </w:p>
  </w:endnote>
  <w:endnote w:type="continuationSeparator" w:id="0">
    <w:p w14:paraId="69734D21" w14:textId="77777777" w:rsidR="0097314A" w:rsidRDefault="00973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BB1B23" w14:textId="77777777" w:rsidR="00A94D30" w:rsidRDefault="00000000">
    <w:pPr>
      <w:pStyle w:val="Footer"/>
      <w:jc w:val="center"/>
    </w:pPr>
    <w:r>
      <w:rPr>
        <w:color w:val="5B6471"/>
        <w:sz w:val="16"/>
      </w:rPr>
      <w:t xml:space="preserve">Plotara teaching </w:t>
    </w:r>
    <w:proofErr w:type="gramStart"/>
    <w:r>
      <w:rPr>
        <w:color w:val="5B6471"/>
        <w:sz w:val="16"/>
      </w:rPr>
      <w:t>series  |</w:t>
    </w:r>
    <w:proofErr w:type="gramEnd"/>
    <w:r>
      <w:rPr>
        <w:color w:val="5B6471"/>
        <w:sz w:val="16"/>
      </w:rPr>
      <w:t xml:space="preserve">  Independent-samples t-test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45742B" w14:textId="77777777" w:rsidR="0097314A" w:rsidRDefault="0097314A">
      <w:pPr>
        <w:spacing w:after="0" w:line="240" w:lineRule="auto"/>
      </w:pPr>
      <w:r>
        <w:separator/>
      </w:r>
    </w:p>
  </w:footnote>
  <w:footnote w:type="continuationSeparator" w:id="0">
    <w:p w14:paraId="2CED4DDA" w14:textId="77777777" w:rsidR="0097314A" w:rsidRDefault="009731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3054057">
    <w:abstractNumId w:val="8"/>
  </w:num>
  <w:num w:numId="2" w16cid:durableId="385757527">
    <w:abstractNumId w:val="6"/>
  </w:num>
  <w:num w:numId="3" w16cid:durableId="630718912">
    <w:abstractNumId w:val="5"/>
  </w:num>
  <w:num w:numId="4" w16cid:durableId="780611848">
    <w:abstractNumId w:val="4"/>
  </w:num>
  <w:num w:numId="5" w16cid:durableId="229079218">
    <w:abstractNumId w:val="7"/>
  </w:num>
  <w:num w:numId="6" w16cid:durableId="1354498268">
    <w:abstractNumId w:val="3"/>
  </w:num>
  <w:num w:numId="7" w16cid:durableId="1427768418">
    <w:abstractNumId w:val="2"/>
  </w:num>
  <w:num w:numId="8" w16cid:durableId="1002243372">
    <w:abstractNumId w:val="1"/>
  </w:num>
  <w:num w:numId="9" w16cid:durableId="118216731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2135"/>
    <w:rsid w:val="0006063C"/>
    <w:rsid w:val="00102FF4"/>
    <w:rsid w:val="0015074B"/>
    <w:rsid w:val="0021505A"/>
    <w:rsid w:val="0029639D"/>
    <w:rsid w:val="002E6327"/>
    <w:rsid w:val="00326F90"/>
    <w:rsid w:val="00515933"/>
    <w:rsid w:val="008151D6"/>
    <w:rsid w:val="008C6DDB"/>
    <w:rsid w:val="00964DA0"/>
    <w:rsid w:val="0097314A"/>
    <w:rsid w:val="00A94D30"/>
    <w:rsid w:val="00AA1D8D"/>
    <w:rsid w:val="00B47730"/>
    <w:rsid w:val="00CB0664"/>
    <w:rsid w:val="00E33283"/>
    <w:rsid w:val="00FB50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234F70"/>
  <w14:defaultImageDpi w14:val="300"/>
  <w15:docId w15:val="{83FBEF9E-949D-1E46-8787-6C0C25CB3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Calibri" w:hAnsi="Calibri"/>
      <w:color w:val="1F242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0"/>
      <w:outlineLvl w:val="0"/>
    </w:pPr>
    <w:rPr>
      <w:rFonts w:asciiTheme="majorHAnsi" w:eastAsiaTheme="majorEastAsia" w:hAnsiTheme="majorHAnsi" w:cstheme="majorBidi"/>
      <w:b/>
      <w:bCs/>
      <w:color w:val="3B6FD4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Theme="majorHAnsi" w:eastAsiaTheme="majorEastAsia" w:hAnsiTheme="majorHAnsi" w:cstheme="majorBidi"/>
      <w:b/>
      <w:bCs/>
      <w:color w:val="3B6FD4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Theme="majorHAnsi" w:eastAsiaTheme="majorEastAsia" w:hAnsiTheme="majorHAnsi" w:cstheme="majorBidi"/>
      <w:b/>
      <w:bCs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1131</Words>
  <Characters>6452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Rebecca Jane Jones</cp:lastModifiedBy>
  <cp:revision>5</cp:revision>
  <dcterms:created xsi:type="dcterms:W3CDTF">2013-12-23T23:15:00Z</dcterms:created>
  <dcterms:modified xsi:type="dcterms:W3CDTF">2026-07-31T18:52:00Z</dcterms:modified>
  <cp:category/>
</cp:coreProperties>
</file>